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68BD" w14:textId="6856C579" w:rsidR="00DC06D6" w:rsidRDefault="001D0DEC" w:rsidP="00F1180E">
      <w:pPr>
        <w:pStyle w:val="Heading1"/>
      </w:pPr>
      <w:r>
        <w:t>Cost-effectiveness of a novel syphilis test:</w:t>
      </w:r>
    </w:p>
    <w:p w14:paraId="33D49C4E" w14:textId="63823B27" w:rsidR="0068394D" w:rsidRDefault="000F1A89" w:rsidP="00F1180E">
      <w:pPr>
        <w:pStyle w:val="Heading1"/>
      </w:pPr>
      <w:r>
        <w:t>Full input parameters</w:t>
      </w:r>
      <w:r w:rsidR="00D76D53">
        <w:t>,</w:t>
      </w:r>
      <w:r>
        <w:t xml:space="preserve"> and sensitivity analyses</w:t>
      </w:r>
    </w:p>
    <w:p w14:paraId="08D0A31C" w14:textId="77777777" w:rsidR="000F1A89" w:rsidRDefault="000F1A89" w:rsidP="000F1A89">
      <w:pPr>
        <w:rPr>
          <w:lang w:eastAsia="en-US"/>
        </w:rPr>
      </w:pPr>
    </w:p>
    <w:p w14:paraId="01A74623" w14:textId="44BFE434" w:rsidR="001F09FA" w:rsidRDefault="001F09FA" w:rsidP="001F09FA">
      <w:pPr>
        <w:pStyle w:val="Heading2"/>
      </w:pPr>
      <w:r>
        <w:t>Disease state definitions</w:t>
      </w:r>
    </w:p>
    <w:p w14:paraId="44CD664B" w14:textId="51B8F695" w:rsidR="001F09FA" w:rsidRDefault="007442BD" w:rsidP="001F09FA">
      <w:pPr>
        <w:rPr>
          <w:lang w:eastAsia="en-US"/>
        </w:rPr>
      </w:pPr>
      <w:r>
        <w:rPr>
          <w:lang w:eastAsia="en-US"/>
        </w:rPr>
        <w:t>Syphilis infection progresses through a series of</w:t>
      </w:r>
      <w:r w:rsidR="00245ADC">
        <w:rPr>
          <w:lang w:eastAsia="en-US"/>
        </w:rPr>
        <w:t xml:space="preserve"> clinically defined stages </w:t>
      </w:r>
      <w:r w:rsidR="00FA36B0">
        <w:rPr>
          <w:lang w:eastAsia="en-US"/>
        </w:rPr>
        <w:t xml:space="preserve">over several years </w:t>
      </w:r>
      <w:r w:rsidR="00245ADC">
        <w:rPr>
          <w:lang w:eastAsia="en-US"/>
        </w:rPr>
        <w:t xml:space="preserve">– primary, secondary, early latent, late latent and tertiary. Infection in the primary to </w:t>
      </w:r>
      <w:r w:rsidR="00730255">
        <w:rPr>
          <w:lang w:eastAsia="en-US"/>
        </w:rPr>
        <w:t xml:space="preserve">early latent stages is </w:t>
      </w:r>
      <w:r w:rsidR="00B024B8">
        <w:rPr>
          <w:lang w:eastAsia="en-US"/>
        </w:rPr>
        <w:t xml:space="preserve">considered to pose </w:t>
      </w:r>
      <w:r w:rsidR="00E60C2D">
        <w:rPr>
          <w:lang w:eastAsia="en-US"/>
        </w:rPr>
        <w:t>the highest</w:t>
      </w:r>
      <w:r w:rsidR="00B024B8">
        <w:rPr>
          <w:lang w:eastAsia="en-US"/>
        </w:rPr>
        <w:t xml:space="preserve"> risk of sexual transmission</w:t>
      </w:r>
      <w:r w:rsidR="00354F15">
        <w:rPr>
          <w:lang w:eastAsia="en-US"/>
        </w:rPr>
        <w:t xml:space="preserve">, but </w:t>
      </w:r>
      <w:r w:rsidR="00DE6B9C">
        <w:rPr>
          <w:lang w:eastAsia="en-US"/>
        </w:rPr>
        <w:t xml:space="preserve">tertiary </w:t>
      </w:r>
      <w:r w:rsidR="001B647B">
        <w:rPr>
          <w:lang w:eastAsia="en-US"/>
        </w:rPr>
        <w:t>syphilis continues to damage internal organs.</w:t>
      </w:r>
      <w:r w:rsidR="00B024B8">
        <w:rPr>
          <w:lang w:eastAsia="en-US"/>
        </w:rPr>
        <w:t xml:space="preserve"> </w:t>
      </w:r>
      <w:r w:rsidR="00861961">
        <w:rPr>
          <w:lang w:eastAsia="en-US"/>
        </w:rPr>
        <w:t xml:space="preserve">Additionally, </w:t>
      </w:r>
      <w:r w:rsidR="00E6514F">
        <w:rPr>
          <w:lang w:eastAsia="en-US"/>
        </w:rPr>
        <w:t>syphilis antibodies</w:t>
      </w:r>
      <w:r w:rsidR="00FE1DB8">
        <w:rPr>
          <w:lang w:eastAsia="en-US"/>
        </w:rPr>
        <w:t xml:space="preserve"> </w:t>
      </w:r>
      <w:r w:rsidR="008D6CD3">
        <w:rPr>
          <w:lang w:eastAsia="en-US"/>
        </w:rPr>
        <w:t xml:space="preserve">persist after treatment which complicates diagnostic discrimination </w:t>
      </w:r>
      <w:r w:rsidR="00FE1DB8">
        <w:rPr>
          <w:lang w:eastAsia="en-US"/>
        </w:rPr>
        <w:t>of</w:t>
      </w:r>
      <w:r w:rsidR="008D6CD3">
        <w:rPr>
          <w:lang w:eastAsia="en-US"/>
        </w:rPr>
        <w:t xml:space="preserve"> current </w:t>
      </w:r>
      <w:r w:rsidR="00FE1DB8">
        <w:rPr>
          <w:lang w:eastAsia="en-US"/>
        </w:rPr>
        <w:t>versus</w:t>
      </w:r>
      <w:r w:rsidR="008D6CD3">
        <w:rPr>
          <w:lang w:eastAsia="en-US"/>
        </w:rPr>
        <w:t xml:space="preserve"> past-treated cases.</w:t>
      </w:r>
    </w:p>
    <w:p w14:paraId="68EF729D" w14:textId="1E15EF0B" w:rsidR="009C7788" w:rsidRDefault="00E46FE7" w:rsidP="001F09FA">
      <w:pPr>
        <w:rPr>
          <w:lang w:eastAsia="en-US"/>
        </w:rPr>
      </w:pPr>
      <w:r>
        <w:rPr>
          <w:lang w:eastAsia="en-US"/>
        </w:rPr>
        <w:t xml:space="preserve">We define </w:t>
      </w:r>
      <w:r w:rsidRPr="00AD17D1">
        <w:rPr>
          <w:rFonts w:ascii="Aptos SemiBold" w:hAnsi="Aptos SemiBold"/>
          <w:lang w:eastAsia="en-US"/>
        </w:rPr>
        <w:t>current infection</w:t>
      </w:r>
      <w:r>
        <w:rPr>
          <w:lang w:eastAsia="en-US"/>
        </w:rPr>
        <w:t xml:space="preserve"> as </w:t>
      </w:r>
      <w:r w:rsidR="00F02D06">
        <w:rPr>
          <w:lang w:eastAsia="en-US"/>
        </w:rPr>
        <w:t>infection</w:t>
      </w:r>
      <w:r w:rsidR="00873AFE">
        <w:rPr>
          <w:lang w:eastAsia="en-US"/>
        </w:rPr>
        <w:t xml:space="preserve"> with the bacterial</w:t>
      </w:r>
      <w:r w:rsidR="00F02D06">
        <w:rPr>
          <w:lang w:eastAsia="en-US"/>
        </w:rPr>
        <w:t xml:space="preserve"> </w:t>
      </w:r>
      <w:r w:rsidR="00873AFE">
        <w:rPr>
          <w:lang w:eastAsia="en-US"/>
        </w:rPr>
        <w:t xml:space="preserve">infectious agent present, </w:t>
      </w:r>
      <w:r w:rsidR="00E60C2D">
        <w:rPr>
          <w:lang w:eastAsia="en-US"/>
        </w:rPr>
        <w:t>in any clinical stage.</w:t>
      </w:r>
      <w:r w:rsidR="00225E1A">
        <w:rPr>
          <w:lang w:eastAsia="en-US"/>
        </w:rPr>
        <w:t xml:space="preserve"> </w:t>
      </w:r>
    </w:p>
    <w:p w14:paraId="7B4BDF63" w14:textId="02209707" w:rsidR="001F09FA" w:rsidRDefault="00BA1B88" w:rsidP="001F09FA">
      <w:pPr>
        <w:rPr>
          <w:lang w:eastAsia="en-US"/>
        </w:rPr>
      </w:pPr>
      <w:r>
        <w:rPr>
          <w:lang w:eastAsia="en-US"/>
        </w:rPr>
        <w:t xml:space="preserve">We define </w:t>
      </w:r>
      <w:r w:rsidRPr="00AD17D1">
        <w:rPr>
          <w:rFonts w:ascii="Aptos SemiBold" w:hAnsi="Aptos SemiBold"/>
          <w:lang w:eastAsia="en-US"/>
        </w:rPr>
        <w:t>past-treated infection</w:t>
      </w:r>
      <w:r>
        <w:rPr>
          <w:lang w:eastAsia="en-US"/>
        </w:rPr>
        <w:t xml:space="preserve"> by absence of the bacterial infectious agent </w:t>
      </w:r>
      <w:r w:rsidR="009C7788">
        <w:rPr>
          <w:lang w:eastAsia="en-US"/>
        </w:rPr>
        <w:t xml:space="preserve">and </w:t>
      </w:r>
      <w:r>
        <w:rPr>
          <w:lang w:eastAsia="en-US"/>
        </w:rPr>
        <w:t>presence of syphilis antibodies.</w:t>
      </w:r>
    </w:p>
    <w:p w14:paraId="725DE848" w14:textId="77777777" w:rsidR="00082331" w:rsidRDefault="00082331" w:rsidP="001F09FA">
      <w:pPr>
        <w:rPr>
          <w:lang w:eastAsia="en-US"/>
        </w:rPr>
      </w:pPr>
    </w:p>
    <w:p w14:paraId="0110C9C1" w14:textId="77777777" w:rsidR="00A0596A" w:rsidRDefault="00A0596A" w:rsidP="00A0596A">
      <w:pPr>
        <w:pStyle w:val="Heading2"/>
      </w:pPr>
      <w:r>
        <w:t>Model structure</w:t>
      </w:r>
    </w:p>
    <w:p w14:paraId="7C18AAA8" w14:textId="17C6A058" w:rsidR="00A0596A" w:rsidRDefault="00A0596A" w:rsidP="00A0596A">
      <w:pPr>
        <w:rPr>
          <w:lang w:eastAsia="en-US"/>
        </w:rPr>
      </w:pPr>
      <w:r>
        <w:rPr>
          <w:lang w:eastAsia="en-US"/>
        </w:rPr>
        <w:t xml:space="preserve">The model is a decision-tree model created in Microsoft Excel and simulates one round of testing (for instance, </w:t>
      </w:r>
      <w:r w:rsidR="00C12BF7">
        <w:rPr>
          <w:lang w:eastAsia="en-US"/>
        </w:rPr>
        <w:t>everyone’s</w:t>
      </w:r>
      <w:r>
        <w:rPr>
          <w:lang w:eastAsia="en-US"/>
        </w:rPr>
        <w:t xml:space="preserve"> first test of the year) for 100 hypothetical urban Australian MSM (current syphilis</w:t>
      </w:r>
      <w:r w:rsidR="00062321">
        <w:rPr>
          <w:lang w:eastAsia="en-US"/>
        </w:rPr>
        <w:t xml:space="preserve"> infection</w:t>
      </w:r>
      <w:r>
        <w:rPr>
          <w:lang w:eastAsia="en-US"/>
        </w:rPr>
        <w:t xml:space="preserve"> prevalence 1.8%).</w:t>
      </w:r>
    </w:p>
    <w:p w14:paraId="5957DC0D" w14:textId="77777777" w:rsidR="00A0596A" w:rsidRDefault="00A0596A" w:rsidP="00A0596A">
      <w:pPr>
        <w:rPr>
          <w:lang w:eastAsia="en-US"/>
        </w:rPr>
      </w:pPr>
      <w:r>
        <w:rPr>
          <w:lang w:eastAsia="en-US"/>
        </w:rPr>
        <w:t xml:space="preserve">In the </w:t>
      </w:r>
      <w:r w:rsidRPr="00F9649D">
        <w:rPr>
          <w:rFonts w:ascii="Aptos SemiBold" w:hAnsi="Aptos SemiBold"/>
          <w:lang w:eastAsia="en-US"/>
        </w:rPr>
        <w:t>status quo scenario</w:t>
      </w:r>
      <w:r>
        <w:rPr>
          <w:lang w:eastAsia="en-US"/>
        </w:rPr>
        <w:t xml:space="preserve">, each MSM either attends a healthcare clinic for laboratory </w:t>
      </w:r>
      <w:proofErr w:type="gramStart"/>
      <w:r>
        <w:rPr>
          <w:lang w:eastAsia="en-US"/>
        </w:rPr>
        <w:t>testing, or</w:t>
      </w:r>
      <w:proofErr w:type="gramEnd"/>
      <w:r>
        <w:rPr>
          <w:lang w:eastAsia="en-US"/>
        </w:rPr>
        <w:t xml:space="preserve"> does not test.</w:t>
      </w:r>
    </w:p>
    <w:p w14:paraId="1AA1CF31" w14:textId="4063825C" w:rsidR="00A0596A" w:rsidRDefault="00A0596A" w:rsidP="00A0596A">
      <w:pPr>
        <w:rPr>
          <w:lang w:eastAsia="en-US"/>
        </w:rPr>
      </w:pPr>
      <w:r>
        <w:rPr>
          <w:lang w:eastAsia="en-US"/>
        </w:rPr>
        <w:t xml:space="preserve">In the </w:t>
      </w:r>
      <w:r w:rsidRPr="00F9649D">
        <w:rPr>
          <w:rFonts w:ascii="Aptos SemiBold" w:hAnsi="Aptos SemiBold"/>
          <w:lang w:eastAsia="en-US"/>
        </w:rPr>
        <w:t>intervention scenario</w:t>
      </w:r>
      <w:r>
        <w:rPr>
          <w:lang w:eastAsia="en-US"/>
        </w:rPr>
        <w:t>, each MSM either attend</w:t>
      </w:r>
      <w:r w:rsidR="00A963DF">
        <w:rPr>
          <w:lang w:eastAsia="en-US"/>
        </w:rPr>
        <w:t>s</w:t>
      </w:r>
      <w:r>
        <w:rPr>
          <w:lang w:eastAsia="en-US"/>
        </w:rPr>
        <w:t xml:space="preserve"> a healthcare clinic, or take</w:t>
      </w:r>
      <w:r w:rsidR="00A963DF">
        <w:rPr>
          <w:lang w:eastAsia="en-US"/>
        </w:rPr>
        <w:t>s</w:t>
      </w:r>
      <w:r>
        <w:rPr>
          <w:lang w:eastAsia="en-US"/>
        </w:rPr>
        <w:t xml:space="preserve"> a self-test and based on the result possibly attend</w:t>
      </w:r>
      <w:r w:rsidR="00A963DF">
        <w:rPr>
          <w:lang w:eastAsia="en-US"/>
        </w:rPr>
        <w:t>s</w:t>
      </w:r>
      <w:r>
        <w:rPr>
          <w:lang w:eastAsia="en-US"/>
        </w:rPr>
        <w:t xml:space="preserve"> a healthcare </w:t>
      </w:r>
      <w:proofErr w:type="gramStart"/>
      <w:r>
        <w:rPr>
          <w:lang w:eastAsia="en-US"/>
        </w:rPr>
        <w:t>clinic, or</w:t>
      </w:r>
      <w:proofErr w:type="gramEnd"/>
      <w:r>
        <w:rPr>
          <w:lang w:eastAsia="en-US"/>
        </w:rPr>
        <w:t xml:space="preserve"> </w:t>
      </w:r>
      <w:r w:rsidR="00A963DF">
        <w:rPr>
          <w:lang w:eastAsia="en-US"/>
        </w:rPr>
        <w:t>does</w:t>
      </w:r>
      <w:r>
        <w:rPr>
          <w:lang w:eastAsia="en-US"/>
        </w:rPr>
        <w:t xml:space="preserve"> not test.</w:t>
      </w:r>
    </w:p>
    <w:p w14:paraId="4C9656ED" w14:textId="553E2099" w:rsidR="00A0596A" w:rsidRDefault="00A0596A" w:rsidP="00A0596A">
      <w:pPr>
        <w:rPr>
          <w:lang w:eastAsia="en-US"/>
        </w:rPr>
      </w:pPr>
      <w:r>
        <w:rPr>
          <w:lang w:eastAsia="en-US"/>
        </w:rPr>
        <w:t xml:space="preserve">Each test taken in both scenarios is associated with a probability of returning a true positive, false positive, true negative or false negative result. For the self-test, the result influences the probability of attending confirmatory clinic testing. For the clinic tests, the combination of laboratory results determines whether a patient receives a correct diagnosis. </w:t>
      </w:r>
    </w:p>
    <w:p w14:paraId="4B433DDA" w14:textId="77777777" w:rsidR="001F09FA" w:rsidRPr="001F09FA" w:rsidRDefault="001F09FA" w:rsidP="001F09FA">
      <w:pPr>
        <w:rPr>
          <w:lang w:eastAsia="en-US"/>
        </w:rPr>
      </w:pPr>
    </w:p>
    <w:p w14:paraId="7E7D3892" w14:textId="33AB2158" w:rsidR="001F0C09" w:rsidRPr="00A83A66" w:rsidRDefault="000F1A89" w:rsidP="00923EAB">
      <w:pPr>
        <w:pStyle w:val="Heading2"/>
      </w:pPr>
      <w:r>
        <w:t>Model input parameters</w:t>
      </w:r>
    </w:p>
    <w:p w14:paraId="24F029E2" w14:textId="16A651F3" w:rsidR="001F0C09" w:rsidRDefault="00EA1360" w:rsidP="00AB18F6">
      <w:pPr>
        <w:pStyle w:val="Heading3"/>
      </w:pPr>
      <w:r>
        <w:t>Test uptake</w:t>
      </w:r>
      <w:r w:rsidR="000F1A89">
        <w:t xml:space="preserve"> parameters</w:t>
      </w:r>
    </w:p>
    <w:p w14:paraId="0FF8B582" w14:textId="07A47BE4" w:rsidR="00461028" w:rsidRDefault="004E2A36" w:rsidP="000F1A89">
      <w:pPr>
        <w:rPr>
          <w:lang w:eastAsia="en-US"/>
        </w:rPr>
      </w:pPr>
      <w:r>
        <w:rPr>
          <w:lang w:eastAsia="en-US"/>
        </w:rPr>
        <w:t xml:space="preserve">These parameters describe </w:t>
      </w:r>
      <w:r w:rsidR="001D1132">
        <w:rPr>
          <w:lang w:eastAsia="en-US"/>
        </w:rPr>
        <w:t xml:space="preserve">the testing behaviour of </w:t>
      </w:r>
      <w:r w:rsidR="00783B1A">
        <w:rPr>
          <w:lang w:eastAsia="en-US"/>
        </w:rPr>
        <w:t xml:space="preserve">urban </w:t>
      </w:r>
      <w:r w:rsidR="001D1132">
        <w:rPr>
          <w:lang w:eastAsia="en-US"/>
        </w:rPr>
        <w:t>MSM in the model</w:t>
      </w:r>
      <w:r w:rsidR="002C4940">
        <w:rPr>
          <w:lang w:eastAsia="en-US"/>
        </w:rPr>
        <w:t xml:space="preserve"> and are illustrated by the figure in the poster.</w:t>
      </w:r>
    </w:p>
    <w:p w14:paraId="1A63E62C" w14:textId="4D8AA257" w:rsidR="00EF1611" w:rsidRDefault="00DB3097" w:rsidP="000F1A89">
      <w:pPr>
        <w:rPr>
          <w:lang w:eastAsia="en-US"/>
        </w:rPr>
      </w:pPr>
      <w:r w:rsidRPr="00F9649D">
        <w:rPr>
          <w:rFonts w:ascii="Aptos SemiBold" w:hAnsi="Aptos SemiBold"/>
          <w:lang w:eastAsia="en-US"/>
        </w:rPr>
        <w:lastRenderedPageBreak/>
        <w:t>The Standard of Care Coverage</w:t>
      </w:r>
      <w:r w:rsidR="00CE055E">
        <w:rPr>
          <w:lang w:eastAsia="en-US"/>
        </w:rPr>
        <w:t xml:space="preserve"> </w:t>
      </w:r>
      <w:r w:rsidR="00817ECC">
        <w:rPr>
          <w:lang w:eastAsia="en-US"/>
        </w:rPr>
        <w:t>value</w:t>
      </w:r>
      <w:r w:rsidR="00CE055E">
        <w:rPr>
          <w:lang w:eastAsia="en-US"/>
        </w:rPr>
        <w:t xml:space="preserve"> </w:t>
      </w:r>
      <w:r w:rsidR="0035278E">
        <w:rPr>
          <w:lang w:eastAsia="en-US"/>
        </w:rPr>
        <w:t xml:space="preserve">is </w:t>
      </w:r>
      <w:r w:rsidR="00C81914">
        <w:rPr>
          <w:lang w:eastAsia="en-US"/>
        </w:rPr>
        <w:t>derived</w:t>
      </w:r>
      <w:r w:rsidR="0035278E">
        <w:rPr>
          <w:lang w:eastAsia="en-US"/>
        </w:rPr>
        <w:t xml:space="preserve"> </w:t>
      </w:r>
      <w:r w:rsidR="00CE055E">
        <w:rPr>
          <w:lang w:eastAsia="en-US"/>
        </w:rPr>
        <w:t xml:space="preserve">from </w:t>
      </w:r>
      <w:r w:rsidR="00552D48">
        <w:rPr>
          <w:lang w:eastAsia="en-US"/>
        </w:rPr>
        <w:t xml:space="preserve">the most recent </w:t>
      </w:r>
      <w:r w:rsidR="00556562">
        <w:rPr>
          <w:lang w:eastAsia="en-US"/>
        </w:rPr>
        <w:t xml:space="preserve">available </w:t>
      </w:r>
      <w:r w:rsidR="00552D48">
        <w:rPr>
          <w:lang w:eastAsia="en-US"/>
        </w:rPr>
        <w:t>capital city reports</w:t>
      </w:r>
      <w:r w:rsidR="00556562">
        <w:rPr>
          <w:lang w:eastAsia="en-US"/>
        </w:rPr>
        <w:t xml:space="preserve"> </w:t>
      </w:r>
      <w:r w:rsidR="009360D7">
        <w:rPr>
          <w:lang w:eastAsia="en-US"/>
        </w:rPr>
        <w:t xml:space="preserve">(as opposed to statewide reports) </w:t>
      </w:r>
      <w:r w:rsidR="00556562">
        <w:rPr>
          <w:lang w:eastAsia="en-US"/>
        </w:rPr>
        <w:t>from UNSW’s GBQ+ Community Periodic Surveys</w:t>
      </w:r>
      <w:r w:rsidR="00AA07A2">
        <w:rPr>
          <w:lang w:eastAsia="en-US"/>
        </w:rPr>
        <w:t xml:space="preserve"> </w:t>
      </w:r>
      <w:r w:rsidR="00AA07A2">
        <w:rPr>
          <w:lang w:eastAsia="en-US"/>
        </w:rPr>
        <w:fldChar w:fldCharType="begin"/>
      </w:r>
      <w:r w:rsidR="00AA07A2">
        <w:rPr>
          <w:lang w:eastAsia="en-US"/>
        </w:rPr>
        <w:instrText xml:space="preserve"> ADDIN EN.CITE &lt;EndNote&gt;&lt;Cite&gt;&lt;RecNum&gt;115&lt;/RecNum&gt;&lt;DisplayText&gt;[1]&lt;/DisplayText&gt;&lt;record&gt;&lt;rec-number&gt;115&lt;/rec-number&gt;&lt;foreign-keys&gt;&lt;key app="EN" db-id="xavwzvaen5rp2fe9w2sxep0rvfwfesxa9z9r" timestamp="1756101764"&gt;115&lt;/key&gt;&lt;/foreign-keys&gt;&lt;ref-type name="Journal Article"&gt;17&lt;/ref-type&gt;&lt;contributors&gt;&lt;/contributors&gt;&lt;titles&gt;&lt;title&gt;GBQ+ Community Periodic Surveys | Centre for Social Research in Health - UNSW Sydney&lt;/title&gt;&lt;secondary-title&gt;UNSW Sites&lt;/secondary-title&gt;&lt;/titles&gt;&lt;periodical&gt;&lt;full-title&gt;UNSW Sites&lt;/full-title&gt;&lt;/periodical&gt;&lt;dates&gt;&lt;/dates&gt;&lt;urls&gt;&lt;related-urls&gt;&lt;url&gt;https://www.unsw.edu.au/research/csrh/our-projects/gbq-community-periodic-surveys&lt;/url&gt;&lt;url&gt;files/468/gbq-community-periodic-surveys.html&lt;/url&gt;&lt;/related-urls&gt;&lt;/urls&gt;&lt;language&gt;en&lt;/language&gt;&lt;access-date&gt;2025/08/19/02:35:10&lt;/access-date&gt;&lt;/record&gt;&lt;/Cite&gt;&lt;/EndNote&gt;</w:instrText>
      </w:r>
      <w:r w:rsidR="00AA07A2">
        <w:rPr>
          <w:lang w:eastAsia="en-US"/>
        </w:rPr>
        <w:fldChar w:fldCharType="separate"/>
      </w:r>
      <w:r w:rsidR="00AA07A2">
        <w:rPr>
          <w:noProof/>
          <w:lang w:eastAsia="en-US"/>
        </w:rPr>
        <w:t>[1]</w:t>
      </w:r>
      <w:r w:rsidR="00AA07A2">
        <w:rPr>
          <w:lang w:eastAsia="en-US"/>
        </w:rPr>
        <w:fldChar w:fldCharType="end"/>
      </w:r>
      <w:r w:rsidR="00DB4C76">
        <w:rPr>
          <w:lang w:eastAsia="en-US"/>
        </w:rPr>
        <w:t>.</w:t>
      </w:r>
      <w:r w:rsidR="00456DA8">
        <w:rPr>
          <w:lang w:eastAsia="en-US"/>
        </w:rPr>
        <w:t xml:space="preserve"> </w:t>
      </w:r>
      <w:r w:rsidR="002827DE">
        <w:rPr>
          <w:lang w:eastAsia="en-US"/>
        </w:rPr>
        <w:t>City-specific values were calculated from a</w:t>
      </w:r>
      <w:r w:rsidR="00E3485E">
        <w:rPr>
          <w:lang w:eastAsia="en-US"/>
        </w:rPr>
        <w:t xml:space="preserve"> weighted average across HIV-positive and </w:t>
      </w:r>
      <w:r w:rsidR="00467DD4">
        <w:rPr>
          <w:lang w:eastAsia="en-US"/>
        </w:rPr>
        <w:t xml:space="preserve">HIV-negative </w:t>
      </w:r>
      <w:r w:rsidR="00DC2D95">
        <w:rPr>
          <w:lang w:eastAsia="en-US"/>
        </w:rPr>
        <w:t>participants</w:t>
      </w:r>
      <w:r w:rsidR="00CF6CA8">
        <w:rPr>
          <w:lang w:eastAsia="en-US"/>
        </w:rPr>
        <w:t>. T</w:t>
      </w:r>
      <w:r w:rsidR="000D1DEA">
        <w:rPr>
          <w:lang w:eastAsia="en-US"/>
        </w:rPr>
        <w:t xml:space="preserve">he value </w:t>
      </w:r>
      <w:r w:rsidR="002F4FD2">
        <w:rPr>
          <w:lang w:eastAsia="en-US"/>
        </w:rPr>
        <w:t xml:space="preserve">used in the model is </w:t>
      </w:r>
      <w:r w:rsidR="00A51B8C">
        <w:rPr>
          <w:lang w:eastAsia="en-US"/>
        </w:rPr>
        <w:t xml:space="preserve">an average of </w:t>
      </w:r>
      <w:r w:rsidR="00CF6CA8">
        <w:rPr>
          <w:lang w:eastAsia="en-US"/>
        </w:rPr>
        <w:t xml:space="preserve">these </w:t>
      </w:r>
      <w:r w:rsidR="00A51B8C">
        <w:rPr>
          <w:lang w:eastAsia="en-US"/>
        </w:rPr>
        <w:t>city-specific values.</w:t>
      </w:r>
    </w:p>
    <w:p w14:paraId="62608B73" w14:textId="7F9A7776" w:rsidR="00EF1611" w:rsidRDefault="00EA1360" w:rsidP="000F1A89">
      <w:pPr>
        <w:rPr>
          <w:lang w:eastAsia="en-US"/>
        </w:rPr>
      </w:pPr>
      <w:r w:rsidRPr="00F9649D">
        <w:rPr>
          <w:rFonts w:ascii="Aptos SemiBold" w:hAnsi="Aptos SemiBold"/>
          <w:lang w:eastAsia="en-US"/>
        </w:rPr>
        <w:t>The r</w:t>
      </w:r>
      <w:r w:rsidR="006E1099" w:rsidRPr="00F9649D">
        <w:rPr>
          <w:rFonts w:ascii="Aptos SemiBold" w:hAnsi="Aptos SemiBold"/>
          <w:lang w:eastAsia="en-US"/>
        </w:rPr>
        <w:t>emaining uptake parameters</w:t>
      </w:r>
      <w:r w:rsidR="006E1099">
        <w:rPr>
          <w:lang w:eastAsia="en-US"/>
        </w:rPr>
        <w:t xml:space="preserve"> are poorly constrained by available data. </w:t>
      </w:r>
      <w:r w:rsidR="00DE430B">
        <w:rPr>
          <w:lang w:eastAsia="en-US"/>
        </w:rPr>
        <w:t xml:space="preserve">Our </w:t>
      </w:r>
      <w:r w:rsidR="004D0AA1">
        <w:rPr>
          <w:lang w:eastAsia="en-US"/>
        </w:rPr>
        <w:t xml:space="preserve">baseline </w:t>
      </w:r>
      <w:r w:rsidR="00DE430B">
        <w:rPr>
          <w:lang w:eastAsia="en-US"/>
        </w:rPr>
        <w:t xml:space="preserve">estimates aimed to preserve the </w:t>
      </w:r>
      <w:r w:rsidR="00915ABB">
        <w:rPr>
          <w:lang w:eastAsia="en-US"/>
        </w:rPr>
        <w:t xml:space="preserve">percentage of </w:t>
      </w:r>
      <w:r w:rsidR="004D0AA1">
        <w:rPr>
          <w:lang w:eastAsia="en-US"/>
        </w:rPr>
        <w:t xml:space="preserve">adopters among all </w:t>
      </w:r>
      <w:r w:rsidR="00223F54">
        <w:rPr>
          <w:lang w:eastAsia="en-US"/>
        </w:rPr>
        <w:t>self-</w:t>
      </w:r>
      <w:r w:rsidR="004D0AA1">
        <w:rPr>
          <w:lang w:eastAsia="en-US"/>
        </w:rPr>
        <w:t xml:space="preserve">testers at </w:t>
      </w:r>
      <w:r w:rsidR="0028049F">
        <w:rPr>
          <w:lang w:eastAsia="en-US"/>
        </w:rPr>
        <w:t xml:space="preserve">approximately </w:t>
      </w:r>
      <w:r w:rsidR="004D0AA1">
        <w:rPr>
          <w:lang w:eastAsia="en-US"/>
        </w:rPr>
        <w:t>20%, as per HIV</w:t>
      </w:r>
      <w:r w:rsidR="00817ECC">
        <w:rPr>
          <w:lang w:eastAsia="en-US"/>
        </w:rPr>
        <w:t xml:space="preserve"> self-test</w:t>
      </w:r>
      <w:r w:rsidR="004D0AA1">
        <w:rPr>
          <w:lang w:eastAsia="en-US"/>
        </w:rPr>
        <w:t xml:space="preserve"> figures from</w:t>
      </w:r>
      <w:r w:rsidR="009B03A6">
        <w:rPr>
          <w:lang w:eastAsia="en-US"/>
        </w:rPr>
        <w:t xml:space="preserve"> </w:t>
      </w:r>
      <w:r w:rsidR="009B03A6" w:rsidRPr="001B7995">
        <w:rPr>
          <w:lang w:eastAsia="en-US"/>
        </w:rPr>
        <w:fldChar w:fldCharType="begin"/>
      </w:r>
      <w:r w:rsidR="001B7995" w:rsidRPr="001B7995">
        <w:rPr>
          <w:lang w:eastAsia="en-US"/>
        </w:rPr>
        <w:instrText xml:space="preserve"> ADDIN EN.CITE &lt;EndNote&gt;&lt;Cite&gt;&lt;Author&gt;Newham&lt;/Author&gt;&lt;Year&gt;2025&lt;/Year&gt;&lt;RecNum&gt;116&lt;/RecNum&gt;&lt;DisplayText&gt;[2]&lt;/DisplayText&gt;&lt;record&gt;&lt;rec-number&gt;116&lt;/rec-number&gt;&lt;foreign-keys&gt;&lt;key app="EN" db-id="xavwzvaen5rp2fe9w2sxep0rvfwfesxa9z9r" timestamp="1756102597"&gt;116&lt;/key&gt;&lt;/foreign-keys&gt;&lt;ref-type name="Conference Proceedings"&gt;10&lt;/ref-type&gt;&lt;contributors&gt;&lt;authors&gt;&lt;author&gt;Newham, B&lt;/author&gt;&lt;author&gt;MacGibbon, J&lt;/author&gt;&lt;author&gt;Cogle, A&lt;/author&gt;&lt;author&gt;Warner, M&lt;/author&gt;&lt;author&gt;Holt, M&lt;/author&gt;&lt;/authors&gt;&lt;/contributors&gt;&lt;titles&gt;&lt;title&gt;Implementing Australia&amp;apos;s first free national HIV self-testing service - first year successed in attracting high proportions of overseas born, Medicare ineligible, suburban, and regional users&lt;/title&gt;&lt;secondary-title&gt; 2nd Asia Pacific Conference on Point of Care Testing&lt;/secondary-title&gt;&lt;/titles&gt;&lt;dates&gt;&lt;year&gt;2025&lt;/year&gt;&lt;pub-dates&gt;&lt;date&gt;20 June 2025&lt;/date&gt;&lt;/pub-dates&gt;&lt;/dates&gt;&lt;pub-location&gt;Bangkok, Thailand&lt;/pub-location&gt;&lt;urls&gt;&lt;/urls&gt;&lt;/record&gt;&lt;/Cite&gt;&lt;/EndNote&gt;</w:instrText>
      </w:r>
      <w:r w:rsidR="009B03A6" w:rsidRPr="001B7995">
        <w:rPr>
          <w:lang w:eastAsia="en-US"/>
        </w:rPr>
        <w:fldChar w:fldCharType="separate"/>
      </w:r>
      <w:r w:rsidR="009B03A6" w:rsidRPr="001B7995">
        <w:rPr>
          <w:noProof/>
          <w:lang w:eastAsia="en-US"/>
        </w:rPr>
        <w:t>[2]</w:t>
      </w:r>
      <w:r w:rsidR="009B03A6" w:rsidRPr="001B7995">
        <w:rPr>
          <w:lang w:eastAsia="en-US"/>
        </w:rPr>
        <w:fldChar w:fldCharType="end"/>
      </w:r>
      <w:r w:rsidR="004D0AA1">
        <w:rPr>
          <w:lang w:eastAsia="en-US"/>
        </w:rPr>
        <w:t>.</w:t>
      </w:r>
      <w:r>
        <w:rPr>
          <w:lang w:eastAsia="en-US"/>
        </w:rPr>
        <w:t xml:space="preserve"> Due to the uncertainty surrounding </w:t>
      </w:r>
      <w:r w:rsidR="004C5E75">
        <w:rPr>
          <w:lang w:eastAsia="en-US"/>
        </w:rPr>
        <w:t>these parameters, they form the focus of sensitivity analyses.</w:t>
      </w:r>
    </w:p>
    <w:p w14:paraId="35272DC9" w14:textId="11338798" w:rsidR="00D23871" w:rsidRDefault="00F44A9B" w:rsidP="000F1A89">
      <w:pPr>
        <w:rPr>
          <w:lang w:eastAsia="en-US"/>
        </w:rPr>
      </w:pPr>
      <w:r>
        <w:rPr>
          <w:lang w:eastAsia="en-US"/>
        </w:rPr>
        <w:t>Internal p</w:t>
      </w:r>
      <w:r w:rsidR="00D23871">
        <w:rPr>
          <w:lang w:eastAsia="en-US"/>
        </w:rPr>
        <w:t xml:space="preserve">reliminary qualitative investigations have </w:t>
      </w:r>
      <w:r w:rsidR="00C01E34">
        <w:rPr>
          <w:lang w:eastAsia="en-US"/>
        </w:rPr>
        <w:t>suggest</w:t>
      </w:r>
      <w:r w:rsidR="00913B68">
        <w:rPr>
          <w:lang w:eastAsia="en-US"/>
        </w:rPr>
        <w:t>ed</w:t>
      </w:r>
      <w:r>
        <w:rPr>
          <w:lang w:eastAsia="en-US"/>
        </w:rPr>
        <w:t xml:space="preserve"> that </w:t>
      </w:r>
      <w:r w:rsidR="00C01E34">
        <w:rPr>
          <w:lang w:eastAsia="en-US"/>
        </w:rPr>
        <w:t xml:space="preserve">a high proportion of currently testing MSM </w:t>
      </w:r>
      <w:r w:rsidR="00913B68">
        <w:rPr>
          <w:lang w:eastAsia="en-US"/>
        </w:rPr>
        <w:t xml:space="preserve">would </w:t>
      </w:r>
      <w:r w:rsidR="00511BF2">
        <w:rPr>
          <w:lang w:eastAsia="en-US"/>
        </w:rPr>
        <w:t>like to</w:t>
      </w:r>
      <w:r w:rsidR="00913B68">
        <w:rPr>
          <w:lang w:eastAsia="en-US"/>
        </w:rPr>
        <w:t xml:space="preserve"> us</w:t>
      </w:r>
      <w:r w:rsidR="00511BF2">
        <w:rPr>
          <w:lang w:eastAsia="en-US"/>
        </w:rPr>
        <w:t>e</w:t>
      </w:r>
      <w:r w:rsidR="00913B68">
        <w:rPr>
          <w:lang w:eastAsia="en-US"/>
        </w:rPr>
        <w:t xml:space="preserve"> </w:t>
      </w:r>
      <w:r w:rsidR="007B132A">
        <w:rPr>
          <w:lang w:eastAsia="en-US"/>
        </w:rPr>
        <w:t xml:space="preserve">syphilis </w:t>
      </w:r>
      <w:r w:rsidR="00913B68">
        <w:rPr>
          <w:lang w:eastAsia="en-US"/>
        </w:rPr>
        <w:t>self-tests,</w:t>
      </w:r>
      <w:r w:rsidR="007B132A">
        <w:rPr>
          <w:lang w:eastAsia="en-US"/>
        </w:rPr>
        <w:t xml:space="preserve"> especially with the potential for both syphilis and HIV self-tests to be performed together,</w:t>
      </w:r>
      <w:r w:rsidR="00531BD1">
        <w:rPr>
          <w:lang w:eastAsia="en-US"/>
        </w:rPr>
        <w:t xml:space="preserve"> </w:t>
      </w:r>
      <w:r w:rsidR="00FE7BE3">
        <w:rPr>
          <w:lang w:eastAsia="en-US"/>
        </w:rPr>
        <w:t xml:space="preserve">but many would additionally seek to retain the supportive </w:t>
      </w:r>
      <w:r w:rsidR="007B132A">
        <w:rPr>
          <w:lang w:eastAsia="en-US"/>
        </w:rPr>
        <w:t>an</w:t>
      </w:r>
      <w:r w:rsidR="00531BD1">
        <w:rPr>
          <w:lang w:eastAsia="en-US"/>
        </w:rPr>
        <w:t xml:space="preserve">d more holistic </w:t>
      </w:r>
      <w:r w:rsidR="00FE7BE3">
        <w:rPr>
          <w:lang w:eastAsia="en-US"/>
        </w:rPr>
        <w:t xml:space="preserve">care provided </w:t>
      </w:r>
      <w:r w:rsidR="004C1DBF">
        <w:rPr>
          <w:lang w:eastAsia="en-US"/>
        </w:rPr>
        <w:t>their relationship with their clinician.</w:t>
      </w:r>
      <w:r>
        <w:rPr>
          <w:lang w:eastAsia="en-US"/>
        </w:rPr>
        <w:t xml:space="preserve"> </w:t>
      </w:r>
    </w:p>
    <w:p w14:paraId="22A1DF11" w14:textId="3107B323" w:rsidR="004D7E2B" w:rsidRDefault="004C5E75" w:rsidP="000F1A89">
      <w:pPr>
        <w:rPr>
          <w:lang w:eastAsia="en-US"/>
        </w:rPr>
      </w:pPr>
      <w:r w:rsidRPr="00F9649D">
        <w:rPr>
          <w:rFonts w:ascii="Aptos SemiBold" w:hAnsi="Aptos SemiBold"/>
          <w:lang w:eastAsia="en-US"/>
        </w:rPr>
        <w:t xml:space="preserve">The </w:t>
      </w:r>
      <w:r w:rsidR="003D46DC" w:rsidRPr="00F9649D">
        <w:rPr>
          <w:rFonts w:ascii="Aptos SemiBold" w:hAnsi="Aptos SemiBold"/>
          <w:lang w:eastAsia="en-US"/>
        </w:rPr>
        <w:t>H</w:t>
      </w:r>
      <w:r w:rsidR="004D7E2B" w:rsidRPr="00F9649D">
        <w:rPr>
          <w:rFonts w:ascii="Aptos SemiBold" w:hAnsi="Aptos SemiBold"/>
          <w:lang w:eastAsia="en-US"/>
        </w:rPr>
        <w:t>ealthcare LTFU rate</w:t>
      </w:r>
      <w:r w:rsidR="004D7E2B">
        <w:rPr>
          <w:lang w:eastAsia="en-US"/>
        </w:rPr>
        <w:t xml:space="preserve"> is low to reflect the high </w:t>
      </w:r>
      <w:r w:rsidR="00516353">
        <w:rPr>
          <w:lang w:eastAsia="en-US"/>
        </w:rPr>
        <w:t>public health priority given to active syphilis cases.</w:t>
      </w:r>
    </w:p>
    <w:p w14:paraId="74EE4E7B" w14:textId="55B9B3A8" w:rsidR="006B2F63" w:rsidRDefault="001055B2" w:rsidP="000F1A89">
      <w:pPr>
        <w:rPr>
          <w:lang w:eastAsia="en-US"/>
        </w:rPr>
      </w:pPr>
      <w:r w:rsidRPr="00F9649D">
        <w:rPr>
          <w:rFonts w:ascii="Aptos SemiBold" w:hAnsi="Aptos SemiBold"/>
          <w:lang w:eastAsia="en-US"/>
        </w:rPr>
        <w:t xml:space="preserve">The </w:t>
      </w:r>
      <w:r w:rsidR="006B2F63" w:rsidRPr="00F9649D">
        <w:rPr>
          <w:rFonts w:ascii="Aptos SemiBold" w:hAnsi="Aptos SemiBold"/>
          <w:lang w:eastAsia="en-US"/>
        </w:rPr>
        <w:t>Adopter LTFU rate</w:t>
      </w:r>
      <w:r w:rsidR="006B2F63">
        <w:rPr>
          <w:lang w:eastAsia="en-US"/>
        </w:rPr>
        <w:t xml:space="preserve"> </w:t>
      </w:r>
      <w:r w:rsidR="00363CCA">
        <w:rPr>
          <w:lang w:eastAsia="en-US"/>
        </w:rPr>
        <w:t xml:space="preserve">conservatively </w:t>
      </w:r>
      <w:r w:rsidR="000146F3">
        <w:rPr>
          <w:lang w:eastAsia="en-US"/>
        </w:rPr>
        <w:t xml:space="preserve">assumes </w:t>
      </w:r>
      <w:r w:rsidR="00237451">
        <w:rPr>
          <w:lang w:eastAsia="en-US"/>
        </w:rPr>
        <w:t xml:space="preserve">a proportion of </w:t>
      </w:r>
      <w:r w:rsidR="000146F3">
        <w:rPr>
          <w:lang w:eastAsia="en-US"/>
        </w:rPr>
        <w:t xml:space="preserve">current non-testers experience barriers to clinic testing that would also </w:t>
      </w:r>
      <w:r w:rsidR="00EE76B1">
        <w:rPr>
          <w:lang w:eastAsia="en-US"/>
        </w:rPr>
        <w:t xml:space="preserve">hinder follow-up of a positive </w:t>
      </w:r>
      <w:r w:rsidR="002E6831">
        <w:rPr>
          <w:lang w:eastAsia="en-US"/>
        </w:rPr>
        <w:t>self-test</w:t>
      </w:r>
      <w:r w:rsidR="008D072D">
        <w:rPr>
          <w:lang w:eastAsia="en-US"/>
        </w:rPr>
        <w:t xml:space="preserve">, hence </w:t>
      </w:r>
      <w:r>
        <w:rPr>
          <w:lang w:eastAsia="en-US"/>
        </w:rPr>
        <w:t>the A</w:t>
      </w:r>
      <w:r w:rsidR="008D072D">
        <w:rPr>
          <w:lang w:eastAsia="en-US"/>
        </w:rPr>
        <w:t xml:space="preserve">dopter LTFU is higher than </w:t>
      </w:r>
      <w:r w:rsidR="000322E6">
        <w:rPr>
          <w:lang w:eastAsia="en-US"/>
        </w:rPr>
        <w:t>might</w:t>
      </w:r>
      <w:r w:rsidR="008D072D">
        <w:rPr>
          <w:lang w:eastAsia="en-US"/>
        </w:rPr>
        <w:t xml:space="preserve"> be expected for </w:t>
      </w:r>
      <w:r>
        <w:rPr>
          <w:lang w:eastAsia="en-US"/>
        </w:rPr>
        <w:t xml:space="preserve">the </w:t>
      </w:r>
      <w:r w:rsidR="008D072D">
        <w:rPr>
          <w:lang w:eastAsia="en-US"/>
        </w:rPr>
        <w:t>population in general.</w:t>
      </w:r>
    </w:p>
    <w:p w14:paraId="1B17C3F4" w14:textId="77777777" w:rsidR="00C86B39" w:rsidRPr="000F1A89" w:rsidRDefault="00C86B39" w:rsidP="000F1A89">
      <w:pPr>
        <w:rPr>
          <w:lang w:eastAsia="en-US"/>
        </w:rPr>
      </w:pPr>
    </w:p>
    <w:p w14:paraId="75AC1686" w14:textId="02DCA250" w:rsidR="000F1A89" w:rsidRDefault="00C86B39" w:rsidP="000F1A89">
      <w:pPr>
        <w:pStyle w:val="Heading3"/>
      </w:pPr>
      <w:r>
        <w:t>Table 1: Test uptake parameters</w:t>
      </w:r>
    </w:p>
    <w:tbl>
      <w:tblPr>
        <w:tblStyle w:val="TableGrid"/>
        <w:tblW w:w="5000" w:type="pct"/>
        <w:tblLook w:val="0620" w:firstRow="1" w:lastRow="0" w:firstColumn="0" w:lastColumn="0" w:noHBand="1" w:noVBand="1"/>
      </w:tblPr>
      <w:tblGrid>
        <w:gridCol w:w="2688"/>
        <w:gridCol w:w="5671"/>
        <w:gridCol w:w="1269"/>
      </w:tblGrid>
      <w:tr w:rsidR="000F1A89" w:rsidRPr="002600DC" w14:paraId="0B84D169" w14:textId="2B06173D" w:rsidTr="000F1A89">
        <w:trPr>
          <w:tblHeader/>
        </w:trPr>
        <w:tc>
          <w:tcPr>
            <w:tcW w:w="1396" w:type="pct"/>
            <w:shd w:val="clear" w:color="auto" w:fill="F2F2F2" w:themeFill="background1" w:themeFillShade="F2"/>
          </w:tcPr>
          <w:p w14:paraId="65E8FC07" w14:textId="2BF24A4D" w:rsidR="000F1A89" w:rsidRPr="00E92170" w:rsidRDefault="008148F7">
            <w:pPr>
              <w:spacing w:before="80" w:after="80"/>
              <w:rPr>
                <w:b/>
                <w:bCs/>
              </w:rPr>
            </w:pPr>
            <w:r>
              <w:rPr>
                <w:b/>
                <w:bCs/>
              </w:rPr>
              <w:t>Parameter</w:t>
            </w:r>
          </w:p>
        </w:tc>
        <w:tc>
          <w:tcPr>
            <w:tcW w:w="2945" w:type="pct"/>
            <w:shd w:val="clear" w:color="auto" w:fill="F2F2F2" w:themeFill="background1" w:themeFillShade="F2"/>
          </w:tcPr>
          <w:p w14:paraId="3619815E" w14:textId="1E51F3A0" w:rsidR="000F1A89" w:rsidRPr="00E92170" w:rsidRDefault="000F1A89">
            <w:pPr>
              <w:spacing w:before="80" w:after="80"/>
              <w:rPr>
                <w:b/>
                <w:bCs/>
              </w:rPr>
            </w:pPr>
            <w:r>
              <w:rPr>
                <w:b/>
                <w:bCs/>
              </w:rPr>
              <w:t>Definition</w:t>
            </w:r>
          </w:p>
        </w:tc>
        <w:tc>
          <w:tcPr>
            <w:tcW w:w="659" w:type="pct"/>
            <w:shd w:val="clear" w:color="auto" w:fill="F2F2F2" w:themeFill="background1" w:themeFillShade="F2"/>
          </w:tcPr>
          <w:p w14:paraId="23B64944" w14:textId="1314386C" w:rsidR="000F1A89" w:rsidRPr="00E92170" w:rsidRDefault="0002614B">
            <w:pPr>
              <w:spacing w:before="80" w:after="80"/>
              <w:rPr>
                <w:b/>
                <w:bCs/>
              </w:rPr>
            </w:pPr>
            <w:r>
              <w:rPr>
                <w:b/>
                <w:bCs/>
              </w:rPr>
              <w:t xml:space="preserve">Baseline </w:t>
            </w:r>
            <w:r w:rsidR="000F1A89">
              <w:rPr>
                <w:b/>
                <w:bCs/>
              </w:rPr>
              <w:t>Estimate</w:t>
            </w:r>
          </w:p>
        </w:tc>
      </w:tr>
      <w:tr w:rsidR="002068FC" w:rsidRPr="004E5621" w14:paraId="3BA3A411" w14:textId="77777777" w:rsidTr="000F1A89">
        <w:tc>
          <w:tcPr>
            <w:tcW w:w="1396" w:type="pct"/>
          </w:tcPr>
          <w:p w14:paraId="0E7FE929" w14:textId="54BF1375" w:rsidR="002068FC" w:rsidRPr="0002614B" w:rsidRDefault="002068FC" w:rsidP="002068FC">
            <w:pPr>
              <w:spacing w:before="80" w:after="80"/>
            </w:pPr>
            <w:r w:rsidRPr="0002614B">
              <w:t xml:space="preserve">Standard of </w:t>
            </w:r>
            <w:proofErr w:type="gramStart"/>
            <w:r w:rsidRPr="0002614B">
              <w:t xml:space="preserve">Care  </w:t>
            </w:r>
            <w:r w:rsidR="00DB3097">
              <w:t>C</w:t>
            </w:r>
            <w:r w:rsidRPr="0002614B">
              <w:t>overage</w:t>
            </w:r>
            <w:proofErr w:type="gramEnd"/>
          </w:p>
        </w:tc>
        <w:tc>
          <w:tcPr>
            <w:tcW w:w="2945" w:type="pct"/>
          </w:tcPr>
          <w:p w14:paraId="5C208D67" w14:textId="4C52AB33" w:rsidR="002068FC" w:rsidRPr="0002614B" w:rsidRDefault="002068FC" w:rsidP="002068FC">
            <w:pPr>
              <w:spacing w:before="80" w:after="80"/>
            </w:pPr>
            <w:r w:rsidRPr="0002614B">
              <w:t xml:space="preserve">Population proportion of MSM who attend at least one clinic testing appointment for syphilis </w:t>
            </w:r>
            <w:proofErr w:type="gramStart"/>
            <w:r w:rsidRPr="0002614B">
              <w:t>in a given year</w:t>
            </w:r>
            <w:proofErr w:type="gramEnd"/>
            <w:r w:rsidRPr="0002614B">
              <w:t xml:space="preserve">, in the </w:t>
            </w:r>
            <w:r w:rsidR="00CE055E">
              <w:t>status quo</w:t>
            </w:r>
            <w:r w:rsidRPr="0002614B">
              <w:t xml:space="preserve"> scenario</w:t>
            </w:r>
          </w:p>
        </w:tc>
        <w:tc>
          <w:tcPr>
            <w:tcW w:w="659" w:type="pct"/>
          </w:tcPr>
          <w:p w14:paraId="67DD9B81" w14:textId="692D59D5" w:rsidR="002068FC" w:rsidRDefault="006E7B7F" w:rsidP="002068FC">
            <w:pPr>
              <w:spacing w:before="80" w:after="80"/>
            </w:pPr>
            <w:r>
              <w:t>67.7%</w:t>
            </w:r>
          </w:p>
        </w:tc>
      </w:tr>
      <w:tr w:rsidR="002068FC" w:rsidRPr="004E5621" w14:paraId="63086081" w14:textId="232581D5" w:rsidTr="000F1A89">
        <w:tc>
          <w:tcPr>
            <w:tcW w:w="1396" w:type="pct"/>
          </w:tcPr>
          <w:p w14:paraId="01626FF5" w14:textId="705180D6" w:rsidR="002068FC" w:rsidRPr="0002614B" w:rsidRDefault="002068FC" w:rsidP="002068FC">
            <w:pPr>
              <w:spacing w:before="80" w:after="80"/>
            </w:pPr>
            <w:r w:rsidRPr="0002614B">
              <w:t>Adopters</w:t>
            </w:r>
          </w:p>
        </w:tc>
        <w:tc>
          <w:tcPr>
            <w:tcW w:w="2945" w:type="pct"/>
          </w:tcPr>
          <w:p w14:paraId="386DB011" w14:textId="5E5093F0" w:rsidR="002068FC" w:rsidRPr="0002614B" w:rsidRDefault="00695E0C" w:rsidP="002068FC">
            <w:pPr>
              <w:spacing w:before="80" w:after="80"/>
            </w:pPr>
            <w:r>
              <w:t xml:space="preserve">Number of </w:t>
            </w:r>
            <w:r w:rsidR="002068FC" w:rsidRPr="0002614B">
              <w:t>MSM who do not currently test for syphilis under st</w:t>
            </w:r>
            <w:r w:rsidR="00CE055E">
              <w:t>atus quo</w:t>
            </w:r>
            <w:r w:rsidR="002068FC" w:rsidRPr="0002614B">
              <w:t xml:space="preserve">, </w:t>
            </w:r>
            <w:r>
              <w:t xml:space="preserve">and </w:t>
            </w:r>
            <w:r w:rsidR="002068FC" w:rsidRPr="0002614B">
              <w:t xml:space="preserve">who use </w:t>
            </w:r>
            <w:r>
              <w:t>a self-test</w:t>
            </w:r>
            <w:r w:rsidR="002068FC" w:rsidRPr="0002614B">
              <w:t xml:space="preserve"> in the</w:t>
            </w:r>
            <w:r>
              <w:t xml:space="preserve"> intervention</w:t>
            </w:r>
            <w:r w:rsidR="002068FC" w:rsidRPr="0002614B">
              <w:t xml:space="preserve"> scenario</w:t>
            </w:r>
          </w:p>
        </w:tc>
        <w:tc>
          <w:tcPr>
            <w:tcW w:w="659" w:type="pct"/>
          </w:tcPr>
          <w:p w14:paraId="70F290D5" w14:textId="498BE604" w:rsidR="002068FC" w:rsidRPr="00E92170" w:rsidRDefault="002068FC" w:rsidP="002068FC">
            <w:pPr>
              <w:spacing w:before="80" w:after="80"/>
            </w:pPr>
            <w:r>
              <w:t>12</w:t>
            </w:r>
          </w:p>
        </w:tc>
      </w:tr>
      <w:tr w:rsidR="002068FC" w:rsidRPr="004E5621" w14:paraId="13A72F57" w14:textId="24AB2E05" w:rsidTr="000F1A89">
        <w:tc>
          <w:tcPr>
            <w:tcW w:w="1396" w:type="pct"/>
          </w:tcPr>
          <w:p w14:paraId="536B227C" w14:textId="065D82BA" w:rsidR="002068FC" w:rsidRPr="0002614B" w:rsidRDefault="002068FC" w:rsidP="002068FC">
            <w:pPr>
              <w:spacing w:before="80" w:after="80"/>
            </w:pPr>
            <w:r w:rsidRPr="0002614B">
              <w:t>Switchers</w:t>
            </w:r>
          </w:p>
        </w:tc>
        <w:tc>
          <w:tcPr>
            <w:tcW w:w="2945" w:type="pct"/>
          </w:tcPr>
          <w:p w14:paraId="5016BEEB" w14:textId="1971FE2C" w:rsidR="002068FC" w:rsidRPr="0002614B" w:rsidRDefault="002C4940" w:rsidP="002068FC">
            <w:pPr>
              <w:spacing w:before="80" w:after="80"/>
            </w:pPr>
            <w:r>
              <w:t xml:space="preserve">Number of </w:t>
            </w:r>
            <w:r w:rsidR="002068FC" w:rsidRPr="0002614B">
              <w:t xml:space="preserve">MSM who currently attend clinic testing under </w:t>
            </w:r>
            <w:r w:rsidR="00695E0C">
              <w:t>status quo</w:t>
            </w:r>
            <w:r w:rsidR="002068FC" w:rsidRPr="0002614B">
              <w:t xml:space="preserve">, who begin using </w:t>
            </w:r>
            <w:r w:rsidR="00695E0C">
              <w:t>self-tests</w:t>
            </w:r>
            <w:r w:rsidR="002068FC" w:rsidRPr="0002614B">
              <w:t xml:space="preserve"> in the </w:t>
            </w:r>
            <w:r w:rsidR="00695E0C">
              <w:t>intervention</w:t>
            </w:r>
            <w:r w:rsidR="002068FC" w:rsidRPr="0002614B">
              <w:t xml:space="preserve"> scenario</w:t>
            </w:r>
          </w:p>
        </w:tc>
        <w:tc>
          <w:tcPr>
            <w:tcW w:w="659" w:type="pct"/>
          </w:tcPr>
          <w:p w14:paraId="56114C5C" w14:textId="1219903F" w:rsidR="002068FC" w:rsidRPr="00E92170" w:rsidRDefault="002068FC" w:rsidP="002068FC">
            <w:pPr>
              <w:spacing w:before="80" w:after="80"/>
            </w:pPr>
            <w:r>
              <w:t>50</w:t>
            </w:r>
          </w:p>
        </w:tc>
      </w:tr>
      <w:tr w:rsidR="002068FC" w:rsidRPr="004E5621" w14:paraId="1211C0F3" w14:textId="70AB3764" w:rsidTr="000F1A89">
        <w:tc>
          <w:tcPr>
            <w:tcW w:w="1396" w:type="pct"/>
          </w:tcPr>
          <w:p w14:paraId="0FCFDAA6" w14:textId="5ADFE70A" w:rsidR="002068FC" w:rsidRPr="0002614B" w:rsidRDefault="002068FC" w:rsidP="002068FC">
            <w:pPr>
              <w:spacing w:before="80" w:after="80"/>
            </w:pPr>
            <w:r w:rsidRPr="0002614B">
              <w:t>Complement rate</w:t>
            </w:r>
          </w:p>
        </w:tc>
        <w:tc>
          <w:tcPr>
            <w:tcW w:w="2945" w:type="pct"/>
          </w:tcPr>
          <w:p w14:paraId="3403D511" w14:textId="060A9661" w:rsidR="002068FC" w:rsidRPr="0002614B" w:rsidRDefault="002068FC" w:rsidP="002068FC">
            <w:pPr>
              <w:spacing w:before="80" w:after="80"/>
            </w:pPr>
            <w:r w:rsidRPr="0002614B">
              <w:t xml:space="preserve">Proportion of switchers who still attend their scheduled clinic test </w:t>
            </w:r>
            <w:r w:rsidR="00A5654A">
              <w:t xml:space="preserve">even with a negative self-test result </w:t>
            </w:r>
            <w:r w:rsidRPr="0002614B">
              <w:t>(thus complementing rather than replacing clinic testing)</w:t>
            </w:r>
          </w:p>
        </w:tc>
        <w:tc>
          <w:tcPr>
            <w:tcW w:w="659" w:type="pct"/>
          </w:tcPr>
          <w:p w14:paraId="7378EC97" w14:textId="5B27604B" w:rsidR="002068FC" w:rsidRPr="00E92170" w:rsidRDefault="003B5E4B" w:rsidP="002068FC">
            <w:pPr>
              <w:spacing w:before="80" w:after="80"/>
            </w:pPr>
            <w:r>
              <w:t>70%</w:t>
            </w:r>
          </w:p>
        </w:tc>
      </w:tr>
      <w:tr w:rsidR="002068FC" w:rsidRPr="004E5621" w14:paraId="129DD9F4" w14:textId="77777777" w:rsidTr="000F1A89">
        <w:tc>
          <w:tcPr>
            <w:tcW w:w="1396" w:type="pct"/>
          </w:tcPr>
          <w:p w14:paraId="6597419F" w14:textId="56D278AA" w:rsidR="002068FC" w:rsidRPr="0002614B" w:rsidRDefault="002068FC" w:rsidP="002068FC">
            <w:pPr>
              <w:spacing w:before="80" w:after="80"/>
            </w:pPr>
            <w:r w:rsidRPr="0002614B">
              <w:t>Adopter L</w:t>
            </w:r>
            <w:r w:rsidR="0049318A">
              <w:t>oss to Follow-Up (LTFU)</w:t>
            </w:r>
            <w:r w:rsidRPr="0002614B">
              <w:t xml:space="preserve"> rate</w:t>
            </w:r>
          </w:p>
        </w:tc>
        <w:tc>
          <w:tcPr>
            <w:tcW w:w="2945" w:type="pct"/>
          </w:tcPr>
          <w:p w14:paraId="76BD5C5B" w14:textId="48BCFCC6" w:rsidR="002068FC" w:rsidRPr="0002614B" w:rsidRDefault="002068FC" w:rsidP="002068FC">
            <w:pPr>
              <w:spacing w:before="80" w:after="80"/>
            </w:pPr>
            <w:r w:rsidRPr="0002614B">
              <w:t xml:space="preserve">Proportion of adopters who receive a positive </w:t>
            </w:r>
            <w:r w:rsidR="00754109">
              <w:t>self-test</w:t>
            </w:r>
            <w:r w:rsidRPr="0002614B">
              <w:t xml:space="preserve"> result but do not proceed to a clinic for confirmatory testing and treatment</w:t>
            </w:r>
          </w:p>
        </w:tc>
        <w:tc>
          <w:tcPr>
            <w:tcW w:w="659" w:type="pct"/>
          </w:tcPr>
          <w:p w14:paraId="598D08F7" w14:textId="19888AAD" w:rsidR="002068FC" w:rsidRPr="00E92170" w:rsidRDefault="004D7E2B" w:rsidP="002068FC">
            <w:pPr>
              <w:spacing w:before="80" w:after="80"/>
            </w:pPr>
            <w:r>
              <w:t>10%</w:t>
            </w:r>
          </w:p>
        </w:tc>
      </w:tr>
      <w:tr w:rsidR="002068FC" w:rsidRPr="004E5621" w14:paraId="38C5BE5A" w14:textId="77777777" w:rsidTr="000F1A89">
        <w:tc>
          <w:tcPr>
            <w:tcW w:w="1396" w:type="pct"/>
          </w:tcPr>
          <w:p w14:paraId="70A81D83" w14:textId="15245B44" w:rsidR="002068FC" w:rsidRPr="0002614B" w:rsidRDefault="002068FC" w:rsidP="002068FC">
            <w:pPr>
              <w:spacing w:before="80" w:after="80"/>
            </w:pPr>
            <w:r w:rsidRPr="0002614B">
              <w:t xml:space="preserve">Healthcare LTFU rate </w:t>
            </w:r>
          </w:p>
        </w:tc>
        <w:tc>
          <w:tcPr>
            <w:tcW w:w="2945" w:type="pct"/>
          </w:tcPr>
          <w:p w14:paraId="7C812B77" w14:textId="4DBBA943" w:rsidR="002068FC" w:rsidRPr="0002614B" w:rsidRDefault="002068FC" w:rsidP="002068FC">
            <w:pPr>
              <w:spacing w:before="80" w:after="80"/>
            </w:pPr>
            <w:r w:rsidRPr="0002614B">
              <w:t>Proportion of MSM attending each clinic appointment that fail to attend the next required appointment</w:t>
            </w:r>
            <w:r w:rsidR="00742314">
              <w:t xml:space="preserve"> in the care cascade</w:t>
            </w:r>
          </w:p>
        </w:tc>
        <w:tc>
          <w:tcPr>
            <w:tcW w:w="659" w:type="pct"/>
          </w:tcPr>
          <w:p w14:paraId="026D5E42" w14:textId="05538C2E" w:rsidR="002068FC" w:rsidRPr="00E92170" w:rsidRDefault="004D7E2B" w:rsidP="002068FC">
            <w:pPr>
              <w:spacing w:before="80" w:after="80"/>
            </w:pPr>
            <w:r>
              <w:t>1%</w:t>
            </w:r>
          </w:p>
        </w:tc>
      </w:tr>
    </w:tbl>
    <w:p w14:paraId="5957BD5E" w14:textId="77777777" w:rsidR="000F1A89" w:rsidRDefault="000F1A89" w:rsidP="000F1A89">
      <w:pPr>
        <w:rPr>
          <w:lang w:eastAsia="en-US"/>
        </w:rPr>
      </w:pPr>
    </w:p>
    <w:p w14:paraId="19F0A1AE" w14:textId="7F6CDA8B" w:rsidR="000F1A89" w:rsidRDefault="004E0D44" w:rsidP="000F1A89">
      <w:pPr>
        <w:pStyle w:val="Heading3"/>
      </w:pPr>
      <w:r>
        <w:lastRenderedPageBreak/>
        <w:t>Epidemiological</w:t>
      </w:r>
      <w:r w:rsidR="000F1A89">
        <w:t xml:space="preserve"> parameters</w:t>
      </w:r>
    </w:p>
    <w:p w14:paraId="08F16E32" w14:textId="56455671" w:rsidR="004E0D44" w:rsidRDefault="004E0D44" w:rsidP="000F1A89">
      <w:pPr>
        <w:rPr>
          <w:lang w:eastAsia="en-US"/>
        </w:rPr>
      </w:pPr>
      <w:r w:rsidRPr="00F9649D">
        <w:rPr>
          <w:rFonts w:ascii="Aptos SemiBold" w:hAnsi="Aptos SemiBold"/>
          <w:lang w:eastAsia="en-US"/>
        </w:rPr>
        <w:t>Data on syphilis prevalence</w:t>
      </w:r>
      <w:r>
        <w:rPr>
          <w:lang w:eastAsia="en-US"/>
        </w:rPr>
        <w:t xml:space="preserve"> among MSM </w:t>
      </w:r>
      <w:r w:rsidR="004A77FC">
        <w:rPr>
          <w:lang w:eastAsia="en-US"/>
        </w:rPr>
        <w:t>was sourced from</w:t>
      </w:r>
      <w:r w:rsidR="0019712E">
        <w:rPr>
          <w:lang w:eastAsia="en-US"/>
        </w:rPr>
        <w:t xml:space="preserve"> </w:t>
      </w:r>
      <w:r w:rsidR="00C47B5B" w:rsidRPr="004B3DC6">
        <w:t>The Australian Collaboration for Coordinated Enhanced Sentinel Surveillance of Sexually Transmissible Infections and Blood Borne Viruses</w:t>
      </w:r>
      <w:r w:rsidR="00C47B5B">
        <w:t xml:space="preserve"> project (ACCESS). ACCESS maintains a database of deidentified sexual health data from a network of healthcare providers and pathology laboratories around Australia</w:t>
      </w:r>
      <w:r w:rsidR="00CE64C1">
        <w:t xml:space="preserve"> </w:t>
      </w:r>
      <w:r w:rsidR="00CE64C1">
        <w:fldChar w:fldCharType="begin"/>
      </w:r>
      <w:r w:rsidR="002E547D">
        <w:instrText xml:space="preserve"> ADDIN EN.CITE &lt;EndNote&gt;&lt;Cite&gt;&lt;RecNum&gt;69&lt;/RecNum&gt;&lt;DisplayText&gt;[3]&lt;/DisplayText&gt;&lt;record&gt;&lt;rec-number&gt;69&lt;/rec-number&gt;&lt;foreign-keys&gt;&lt;key app="EN" db-id="xavwzvaen5rp2fe9w2sxep0rvfwfesxa9z9r" timestamp="1756101764"&gt;69&lt;/key&gt;&lt;/foreign-keys&gt;&lt;ref-type name="Web Page"&gt;12&lt;/ref-type&gt;&lt;contributors&gt;&lt;/contributors&gt;&lt;titles&gt;&lt;title&gt;Home - ACCESS Project&lt;/title&gt;&lt;/titles&gt;&lt;dates&gt;&lt;/dates&gt;&lt;urls&gt;&lt;related-urls&gt;&lt;url&gt;https://accessproject.org.au/&lt;/url&gt;&lt;/related-urls&gt;&lt;/urls&gt;&lt;access-date&gt;2024/09/23/06:39:01&lt;/access-date&gt;&lt;/record&gt;&lt;/Cite&gt;&lt;/EndNote&gt;</w:instrText>
      </w:r>
      <w:r w:rsidR="00CE64C1">
        <w:fldChar w:fldCharType="separate"/>
      </w:r>
      <w:r w:rsidR="00CE64C1">
        <w:rPr>
          <w:noProof/>
        </w:rPr>
        <w:t>[3]</w:t>
      </w:r>
      <w:r w:rsidR="00CE64C1">
        <w:fldChar w:fldCharType="end"/>
      </w:r>
      <w:r w:rsidR="000C336F">
        <w:t>.</w:t>
      </w:r>
      <w:r w:rsidR="0019712E">
        <w:t xml:space="preserve"> Data was from the year 2024 </w:t>
      </w:r>
      <w:r w:rsidR="00DF3510">
        <w:t xml:space="preserve">and </w:t>
      </w:r>
      <w:r w:rsidR="00AA78E7">
        <w:t>dr</w:t>
      </w:r>
      <w:r w:rsidR="0040233D">
        <w:t>a</w:t>
      </w:r>
      <w:r w:rsidR="00AA78E7">
        <w:t>w</w:t>
      </w:r>
      <w:r w:rsidR="0040233D">
        <w:t>n</w:t>
      </w:r>
      <w:r w:rsidR="00AA78E7">
        <w:t xml:space="preserve"> from </w:t>
      </w:r>
      <w:r w:rsidR="00302F62">
        <w:t xml:space="preserve">43,357 </w:t>
      </w:r>
      <w:r w:rsidR="00F9649D">
        <w:t xml:space="preserve">MSM </w:t>
      </w:r>
      <w:r w:rsidR="00302F62">
        <w:t>participants</w:t>
      </w:r>
      <w:r w:rsidR="00A84409">
        <w:t>.</w:t>
      </w:r>
    </w:p>
    <w:p w14:paraId="7F4ABCF3" w14:textId="496F2E82" w:rsidR="008F4FD3" w:rsidRDefault="00665FC0" w:rsidP="000F1A89">
      <w:pPr>
        <w:rPr>
          <w:lang w:eastAsia="en-US"/>
        </w:rPr>
      </w:pPr>
      <w:r w:rsidRPr="00F9649D">
        <w:rPr>
          <w:rFonts w:ascii="Aptos SemiBold" w:hAnsi="Aptos SemiBold"/>
          <w:lang w:eastAsia="en-US"/>
        </w:rPr>
        <w:t>Estimates for the proportion of syphilis cases in each stage</w:t>
      </w:r>
      <w:r>
        <w:rPr>
          <w:lang w:eastAsia="en-US"/>
        </w:rPr>
        <w:t xml:space="preserve"> were</w:t>
      </w:r>
      <w:r w:rsidR="00F20F8A">
        <w:rPr>
          <w:lang w:eastAsia="en-US"/>
        </w:rPr>
        <w:t xml:space="preserve"> </w:t>
      </w:r>
      <w:r w:rsidR="00444512">
        <w:rPr>
          <w:lang w:eastAsia="en-US"/>
        </w:rPr>
        <w:t xml:space="preserve">produced </w:t>
      </w:r>
      <w:r w:rsidR="000B6CC1">
        <w:rPr>
          <w:lang w:eastAsia="en-US"/>
        </w:rPr>
        <w:t>from</w:t>
      </w:r>
      <w:r w:rsidR="00444512">
        <w:rPr>
          <w:lang w:eastAsia="en-US"/>
        </w:rPr>
        <w:t xml:space="preserve"> </w:t>
      </w:r>
      <w:r w:rsidR="00773BD7">
        <w:rPr>
          <w:lang w:eastAsia="en-US"/>
        </w:rPr>
        <w:t xml:space="preserve">unpublished </w:t>
      </w:r>
      <w:r w:rsidR="00444512">
        <w:rPr>
          <w:lang w:eastAsia="en-US"/>
        </w:rPr>
        <w:t xml:space="preserve">modelling </w:t>
      </w:r>
      <w:r w:rsidR="000B6CC1">
        <w:rPr>
          <w:lang w:eastAsia="en-US"/>
        </w:rPr>
        <w:t>using</w:t>
      </w:r>
      <w:r w:rsidR="00444512">
        <w:rPr>
          <w:lang w:eastAsia="en-US"/>
        </w:rPr>
        <w:t xml:space="preserve"> </w:t>
      </w:r>
      <w:r w:rsidR="008F4FD3">
        <w:rPr>
          <w:lang w:eastAsia="en-US"/>
        </w:rPr>
        <w:t xml:space="preserve">2024 </w:t>
      </w:r>
      <w:r w:rsidR="00150484">
        <w:rPr>
          <w:lang w:eastAsia="en-US"/>
        </w:rPr>
        <w:t xml:space="preserve">ACCESS </w:t>
      </w:r>
      <w:r w:rsidR="00444512">
        <w:rPr>
          <w:lang w:eastAsia="en-US"/>
        </w:rPr>
        <w:t>data</w:t>
      </w:r>
      <w:r w:rsidR="000B6CC1">
        <w:rPr>
          <w:lang w:eastAsia="en-US"/>
        </w:rPr>
        <w:t>.</w:t>
      </w:r>
    </w:p>
    <w:p w14:paraId="0127E565" w14:textId="1CE69D96" w:rsidR="000F1A89" w:rsidRDefault="000F1A89" w:rsidP="000F1A89">
      <w:pPr>
        <w:rPr>
          <w:lang w:eastAsia="en-US"/>
        </w:rPr>
      </w:pPr>
    </w:p>
    <w:p w14:paraId="45A75982" w14:textId="49873C8E" w:rsidR="00C86B39" w:rsidRDefault="00C86B39" w:rsidP="00C86B39">
      <w:pPr>
        <w:pStyle w:val="Heading3"/>
      </w:pPr>
      <w:r>
        <w:t>Table 2:</w:t>
      </w:r>
      <w:r w:rsidR="00DD3D88">
        <w:t xml:space="preserve"> </w:t>
      </w:r>
      <w:r>
        <w:t>Epidemiological parameters</w:t>
      </w:r>
    </w:p>
    <w:tbl>
      <w:tblPr>
        <w:tblStyle w:val="TableGrid"/>
        <w:tblW w:w="5000" w:type="pct"/>
        <w:tblLook w:val="0620" w:firstRow="1" w:lastRow="0" w:firstColumn="0" w:lastColumn="0" w:noHBand="1" w:noVBand="1"/>
      </w:tblPr>
      <w:tblGrid>
        <w:gridCol w:w="6942"/>
        <w:gridCol w:w="2686"/>
      </w:tblGrid>
      <w:tr w:rsidR="008F1939" w:rsidRPr="002600DC" w14:paraId="77017365" w14:textId="77777777" w:rsidTr="008F1939">
        <w:trPr>
          <w:tblHeader/>
        </w:trPr>
        <w:tc>
          <w:tcPr>
            <w:tcW w:w="3605" w:type="pct"/>
            <w:shd w:val="clear" w:color="auto" w:fill="F2F2F2" w:themeFill="background1" w:themeFillShade="F2"/>
          </w:tcPr>
          <w:p w14:paraId="31B97EFE" w14:textId="77777777" w:rsidR="008F1939" w:rsidRPr="00E92170" w:rsidRDefault="008F1939">
            <w:pPr>
              <w:spacing w:before="80" w:after="80"/>
              <w:rPr>
                <w:b/>
                <w:bCs/>
              </w:rPr>
            </w:pPr>
            <w:r>
              <w:rPr>
                <w:b/>
                <w:bCs/>
              </w:rPr>
              <w:t>Parameter</w:t>
            </w:r>
          </w:p>
        </w:tc>
        <w:tc>
          <w:tcPr>
            <w:tcW w:w="1395" w:type="pct"/>
            <w:shd w:val="clear" w:color="auto" w:fill="F2F2F2" w:themeFill="background1" w:themeFillShade="F2"/>
          </w:tcPr>
          <w:p w14:paraId="34499C68" w14:textId="77777777" w:rsidR="008F1939" w:rsidRPr="00E92170" w:rsidRDefault="008F1939">
            <w:pPr>
              <w:spacing w:before="80" w:after="80"/>
              <w:rPr>
                <w:b/>
                <w:bCs/>
              </w:rPr>
            </w:pPr>
            <w:r>
              <w:rPr>
                <w:b/>
                <w:bCs/>
              </w:rPr>
              <w:t>Value</w:t>
            </w:r>
          </w:p>
        </w:tc>
      </w:tr>
      <w:tr w:rsidR="008F1939" w:rsidRPr="004E5621" w14:paraId="5B6C38C1" w14:textId="77777777" w:rsidTr="008F1939">
        <w:tc>
          <w:tcPr>
            <w:tcW w:w="3605" w:type="pct"/>
          </w:tcPr>
          <w:p w14:paraId="7A30F6E5" w14:textId="050A5A4A" w:rsidR="008F1939" w:rsidRPr="000E329F" w:rsidRDefault="008F1939" w:rsidP="000E329F">
            <w:pPr>
              <w:spacing w:before="80" w:after="80"/>
            </w:pPr>
            <w:r>
              <w:t>Proportion of syphilis cases in each stage</w:t>
            </w:r>
            <w:r w:rsidRPr="000E329F">
              <w:t xml:space="preserve"> (primary, secondary, early latent, late latent, tertiary)</w:t>
            </w:r>
          </w:p>
        </w:tc>
        <w:tc>
          <w:tcPr>
            <w:tcW w:w="1395" w:type="pct"/>
          </w:tcPr>
          <w:p w14:paraId="437C9E76" w14:textId="628C6F1D" w:rsidR="008F1939" w:rsidRPr="000E329F" w:rsidRDefault="008F1939" w:rsidP="000E329F">
            <w:pPr>
              <w:spacing w:before="80" w:after="80"/>
            </w:pPr>
            <w:r w:rsidRPr="000E329F">
              <w:t>1</w:t>
            </w:r>
            <w:r>
              <w:t>1</w:t>
            </w:r>
            <w:r w:rsidRPr="000E329F">
              <w:t xml:space="preserve">%, </w:t>
            </w:r>
            <w:r>
              <w:t>8</w:t>
            </w:r>
            <w:r w:rsidRPr="000E329F">
              <w:t xml:space="preserve">%, </w:t>
            </w:r>
            <w:r>
              <w:t>62</w:t>
            </w:r>
            <w:r w:rsidRPr="000E329F">
              <w:t xml:space="preserve">%, 18%, </w:t>
            </w:r>
            <w:r>
              <w:t>1</w:t>
            </w:r>
            <w:r w:rsidRPr="000E329F">
              <w:t>%</w:t>
            </w:r>
          </w:p>
        </w:tc>
      </w:tr>
      <w:tr w:rsidR="008F1939" w:rsidRPr="004E5621" w14:paraId="3D22CC59" w14:textId="77777777" w:rsidTr="008F1939">
        <w:tc>
          <w:tcPr>
            <w:tcW w:w="3605" w:type="pct"/>
          </w:tcPr>
          <w:p w14:paraId="0DB4EED8" w14:textId="29990A07" w:rsidR="008F1939" w:rsidRPr="000E329F" w:rsidRDefault="008F1939" w:rsidP="000E329F">
            <w:pPr>
              <w:spacing w:before="80" w:after="80"/>
            </w:pPr>
            <w:r w:rsidRPr="000E329F">
              <w:t>MSM population proportion never infected</w:t>
            </w:r>
          </w:p>
        </w:tc>
        <w:tc>
          <w:tcPr>
            <w:tcW w:w="1395" w:type="pct"/>
          </w:tcPr>
          <w:p w14:paraId="713B7F66" w14:textId="5059CA1C" w:rsidR="008F1939" w:rsidRPr="000E329F" w:rsidRDefault="008F1939" w:rsidP="000E329F">
            <w:pPr>
              <w:spacing w:before="80" w:after="80"/>
            </w:pPr>
            <w:r>
              <w:t>82.32</w:t>
            </w:r>
            <w:r w:rsidRPr="000E329F">
              <w:t>%</w:t>
            </w:r>
          </w:p>
        </w:tc>
      </w:tr>
      <w:tr w:rsidR="008F1939" w:rsidRPr="004E5621" w14:paraId="42973D24" w14:textId="77777777" w:rsidTr="008F1939">
        <w:tc>
          <w:tcPr>
            <w:tcW w:w="3605" w:type="pct"/>
          </w:tcPr>
          <w:p w14:paraId="7B063C35" w14:textId="0300462A" w:rsidR="008F1939" w:rsidRPr="000E329F" w:rsidRDefault="008F1939" w:rsidP="000E329F">
            <w:pPr>
              <w:spacing w:before="80" w:after="80"/>
            </w:pPr>
            <w:r w:rsidRPr="000E329F">
              <w:t xml:space="preserve">MSM population proportion with </w:t>
            </w:r>
            <w:r>
              <w:t xml:space="preserve">past-treated </w:t>
            </w:r>
            <w:r w:rsidRPr="000E329F">
              <w:t>infection only</w:t>
            </w:r>
          </w:p>
        </w:tc>
        <w:tc>
          <w:tcPr>
            <w:tcW w:w="1395" w:type="pct"/>
          </w:tcPr>
          <w:p w14:paraId="3940C134" w14:textId="62F4FA79" w:rsidR="008F1939" w:rsidRPr="000E329F" w:rsidRDefault="008F1939" w:rsidP="000E329F">
            <w:pPr>
              <w:spacing w:before="80" w:after="80"/>
            </w:pPr>
            <w:r w:rsidRPr="000E329F">
              <w:t>1</w:t>
            </w:r>
            <w:r>
              <w:t>5.88</w:t>
            </w:r>
            <w:r w:rsidRPr="000E329F">
              <w:t>%</w:t>
            </w:r>
          </w:p>
        </w:tc>
      </w:tr>
      <w:tr w:rsidR="008F1939" w:rsidRPr="004E5621" w14:paraId="5951634D" w14:textId="77777777" w:rsidTr="008F1939">
        <w:tc>
          <w:tcPr>
            <w:tcW w:w="3605" w:type="pct"/>
          </w:tcPr>
          <w:p w14:paraId="3F116AEA" w14:textId="4A603B49" w:rsidR="008F1939" w:rsidRPr="000E329F" w:rsidRDefault="008F1939" w:rsidP="000E329F">
            <w:pPr>
              <w:spacing w:before="80" w:after="80"/>
            </w:pPr>
            <w:r w:rsidRPr="000E329F">
              <w:t>MSM population proportion with current infection only</w:t>
            </w:r>
          </w:p>
        </w:tc>
        <w:tc>
          <w:tcPr>
            <w:tcW w:w="1395" w:type="pct"/>
          </w:tcPr>
          <w:p w14:paraId="1A3F6EDF" w14:textId="23F99436" w:rsidR="008F1939" w:rsidRPr="000E329F" w:rsidRDefault="008F1939" w:rsidP="000E329F">
            <w:pPr>
              <w:spacing w:before="80" w:after="80"/>
            </w:pPr>
            <w:r w:rsidRPr="000E329F">
              <w:t>0.</w:t>
            </w:r>
            <w:r>
              <w:t>39</w:t>
            </w:r>
            <w:r w:rsidRPr="000E329F">
              <w:t>%</w:t>
            </w:r>
          </w:p>
        </w:tc>
      </w:tr>
      <w:tr w:rsidR="008F1939" w:rsidRPr="004E5621" w14:paraId="41C56F12" w14:textId="77777777" w:rsidTr="008F1939">
        <w:tc>
          <w:tcPr>
            <w:tcW w:w="3605" w:type="pct"/>
          </w:tcPr>
          <w:p w14:paraId="76EC9634" w14:textId="4DBC94E1" w:rsidR="008F1939" w:rsidRPr="000E329F" w:rsidRDefault="008F1939" w:rsidP="000E329F">
            <w:pPr>
              <w:spacing w:before="80" w:after="80"/>
            </w:pPr>
            <w:r w:rsidRPr="000E329F">
              <w:t>MSM population proportion with current and past</w:t>
            </w:r>
            <w:r w:rsidR="00DA7FAB">
              <w:t>-treated</w:t>
            </w:r>
            <w:r w:rsidRPr="000E329F">
              <w:t xml:space="preserve"> infection</w:t>
            </w:r>
          </w:p>
        </w:tc>
        <w:tc>
          <w:tcPr>
            <w:tcW w:w="1395" w:type="pct"/>
          </w:tcPr>
          <w:p w14:paraId="6D4B4771" w14:textId="38B7AE30" w:rsidR="008F1939" w:rsidRPr="000E329F" w:rsidRDefault="008F1939" w:rsidP="000E329F">
            <w:pPr>
              <w:spacing w:before="80" w:after="80"/>
            </w:pPr>
            <w:r w:rsidRPr="000E329F">
              <w:t>1.4</w:t>
            </w:r>
            <w:r>
              <w:t>1</w:t>
            </w:r>
            <w:r w:rsidRPr="000E329F">
              <w:t>%</w:t>
            </w:r>
          </w:p>
        </w:tc>
      </w:tr>
    </w:tbl>
    <w:p w14:paraId="249607EA" w14:textId="77777777" w:rsidR="0010136C" w:rsidRDefault="0010136C" w:rsidP="000F1A89">
      <w:pPr>
        <w:pStyle w:val="Heading3"/>
      </w:pPr>
    </w:p>
    <w:p w14:paraId="725C815E" w14:textId="09192466" w:rsidR="000F1A89" w:rsidRDefault="000F1A89" w:rsidP="000F1A89">
      <w:pPr>
        <w:pStyle w:val="Heading3"/>
      </w:pPr>
      <w:r>
        <w:t>Test parameters</w:t>
      </w:r>
    </w:p>
    <w:p w14:paraId="1D899C22" w14:textId="0EDFD2CE" w:rsidR="00B80F20" w:rsidRDefault="00211D45" w:rsidP="000F1A89">
      <w:pPr>
        <w:rPr>
          <w:lang w:eastAsia="en-US"/>
        </w:rPr>
      </w:pPr>
      <w:r>
        <w:rPr>
          <w:lang w:eastAsia="en-US"/>
        </w:rPr>
        <w:t xml:space="preserve">The model input for </w:t>
      </w:r>
      <w:r w:rsidRPr="00F96D5B">
        <w:rPr>
          <w:rFonts w:ascii="Aptos SemiBold" w:hAnsi="Aptos SemiBold"/>
          <w:lang w:eastAsia="en-US"/>
        </w:rPr>
        <w:t>s</w:t>
      </w:r>
      <w:r w:rsidR="00B80F20" w:rsidRPr="00F96D5B">
        <w:rPr>
          <w:rFonts w:ascii="Aptos SemiBold" w:hAnsi="Aptos SemiBold"/>
          <w:lang w:eastAsia="en-US"/>
        </w:rPr>
        <w:t xml:space="preserve">ensitivity of </w:t>
      </w:r>
      <w:r w:rsidR="000061A9" w:rsidRPr="00F96D5B">
        <w:rPr>
          <w:rFonts w:ascii="Aptos SemiBold" w:hAnsi="Aptos SemiBold"/>
          <w:lang w:eastAsia="en-US"/>
        </w:rPr>
        <w:t xml:space="preserve">laboratory </w:t>
      </w:r>
      <w:r w:rsidR="00341248" w:rsidRPr="00F96D5B">
        <w:rPr>
          <w:rFonts w:ascii="Aptos SemiBold" w:hAnsi="Aptos SemiBold"/>
          <w:lang w:eastAsia="en-US"/>
        </w:rPr>
        <w:t>tests</w:t>
      </w:r>
      <w:r w:rsidR="00341248">
        <w:rPr>
          <w:lang w:eastAsia="en-US"/>
        </w:rPr>
        <w:t xml:space="preserve"> used under the status quo (</w:t>
      </w:r>
      <w:r w:rsidR="00FB1DE9">
        <w:rPr>
          <w:lang w:eastAsia="en-US"/>
        </w:rPr>
        <w:t xml:space="preserve">two </w:t>
      </w:r>
      <w:r w:rsidR="00341248">
        <w:rPr>
          <w:lang w:eastAsia="en-US"/>
        </w:rPr>
        <w:t xml:space="preserve">TP-specific tests and RPR) </w:t>
      </w:r>
      <w:r w:rsidR="00401B65">
        <w:rPr>
          <w:lang w:eastAsia="en-US"/>
        </w:rPr>
        <w:t xml:space="preserve">was calculated by </w:t>
      </w:r>
      <w:r w:rsidR="00BF1F38">
        <w:rPr>
          <w:lang w:eastAsia="en-US"/>
        </w:rPr>
        <w:t xml:space="preserve">averaging </w:t>
      </w:r>
      <w:r w:rsidR="006D435E">
        <w:rPr>
          <w:lang w:eastAsia="en-US"/>
        </w:rPr>
        <w:t>test brands commonly used</w:t>
      </w:r>
      <w:r w:rsidR="0018474C">
        <w:rPr>
          <w:lang w:eastAsia="en-US"/>
        </w:rPr>
        <w:t xml:space="preserve"> in Australia </w:t>
      </w:r>
      <w:r w:rsidR="006D435E">
        <w:rPr>
          <w:lang w:eastAsia="en-US"/>
        </w:rPr>
        <w:t xml:space="preserve">and </w:t>
      </w:r>
      <w:r w:rsidR="0018474C">
        <w:rPr>
          <w:lang w:eastAsia="en-US"/>
        </w:rPr>
        <w:t xml:space="preserve">with </w:t>
      </w:r>
      <w:r w:rsidR="005F349B">
        <w:rPr>
          <w:lang w:eastAsia="en-US"/>
        </w:rPr>
        <w:t xml:space="preserve">available </w:t>
      </w:r>
      <w:r w:rsidR="0018474C">
        <w:rPr>
          <w:lang w:eastAsia="en-US"/>
        </w:rPr>
        <w:t xml:space="preserve">data for sensitivity stratified by disease stage, weighted by the </w:t>
      </w:r>
      <w:r w:rsidR="005F349B">
        <w:rPr>
          <w:lang w:eastAsia="en-US"/>
        </w:rPr>
        <w:t>prevalence of each disease stage provided in the “Epidemiological Parameters” section.</w:t>
      </w:r>
    </w:p>
    <w:p w14:paraId="491B1B88" w14:textId="77777777" w:rsidR="00C86B39" w:rsidRDefault="00C86B39" w:rsidP="000F1A89">
      <w:pPr>
        <w:rPr>
          <w:lang w:eastAsia="en-US"/>
        </w:rPr>
      </w:pPr>
    </w:p>
    <w:p w14:paraId="0B83FD3B" w14:textId="1EC0F319" w:rsidR="000F1A89" w:rsidRDefault="00C86B39" w:rsidP="000F1A89">
      <w:pPr>
        <w:pStyle w:val="Heading3"/>
      </w:pPr>
      <w:r>
        <w:t>Table 3: Test parameters</w:t>
      </w:r>
    </w:p>
    <w:tbl>
      <w:tblPr>
        <w:tblStyle w:val="TableGrid"/>
        <w:tblW w:w="5000" w:type="pct"/>
        <w:tblLook w:val="0620" w:firstRow="1" w:lastRow="0" w:firstColumn="0" w:lastColumn="0" w:noHBand="1" w:noVBand="1"/>
      </w:tblPr>
      <w:tblGrid>
        <w:gridCol w:w="4106"/>
        <w:gridCol w:w="2006"/>
        <w:gridCol w:w="3516"/>
      </w:tblGrid>
      <w:tr w:rsidR="000F1A89" w:rsidRPr="002600DC" w14:paraId="3D936E91" w14:textId="2723842E" w:rsidTr="000F1A89">
        <w:trPr>
          <w:tblHeader/>
        </w:trPr>
        <w:tc>
          <w:tcPr>
            <w:tcW w:w="2132" w:type="pct"/>
            <w:shd w:val="clear" w:color="auto" w:fill="F2F2F2" w:themeFill="background1" w:themeFillShade="F2"/>
          </w:tcPr>
          <w:p w14:paraId="61967781" w14:textId="29F81592" w:rsidR="000F1A89" w:rsidRPr="00E92170" w:rsidRDefault="000F1A89">
            <w:pPr>
              <w:spacing w:before="80" w:after="80"/>
              <w:rPr>
                <w:b/>
                <w:bCs/>
              </w:rPr>
            </w:pPr>
            <w:r>
              <w:rPr>
                <w:b/>
                <w:bCs/>
              </w:rPr>
              <w:t>Parameter</w:t>
            </w:r>
          </w:p>
        </w:tc>
        <w:tc>
          <w:tcPr>
            <w:tcW w:w="1042" w:type="pct"/>
            <w:shd w:val="clear" w:color="auto" w:fill="F2F2F2" w:themeFill="background1" w:themeFillShade="F2"/>
          </w:tcPr>
          <w:p w14:paraId="64737D1B" w14:textId="13C35FA3" w:rsidR="000F1A89" w:rsidRPr="00E92170" w:rsidRDefault="000F1A89">
            <w:pPr>
              <w:spacing w:before="80" w:after="80"/>
              <w:rPr>
                <w:b/>
                <w:bCs/>
              </w:rPr>
            </w:pPr>
            <w:r>
              <w:rPr>
                <w:b/>
                <w:bCs/>
              </w:rPr>
              <w:t>Value</w:t>
            </w:r>
          </w:p>
        </w:tc>
        <w:tc>
          <w:tcPr>
            <w:tcW w:w="1826" w:type="pct"/>
            <w:shd w:val="clear" w:color="auto" w:fill="F2F2F2" w:themeFill="background1" w:themeFillShade="F2"/>
          </w:tcPr>
          <w:p w14:paraId="1892AF2E" w14:textId="128C26B6" w:rsidR="000F1A89" w:rsidRPr="00E92170" w:rsidRDefault="000F1A89">
            <w:pPr>
              <w:spacing w:before="80" w:after="80"/>
              <w:rPr>
                <w:b/>
                <w:bCs/>
              </w:rPr>
            </w:pPr>
            <w:r>
              <w:rPr>
                <w:b/>
                <w:bCs/>
              </w:rPr>
              <w:t>Source</w:t>
            </w:r>
          </w:p>
        </w:tc>
      </w:tr>
      <w:tr w:rsidR="0017542F" w:rsidRPr="004E5621" w14:paraId="374EEB39" w14:textId="4E5742B7" w:rsidTr="000F1A89">
        <w:tc>
          <w:tcPr>
            <w:tcW w:w="2132" w:type="pct"/>
          </w:tcPr>
          <w:p w14:paraId="5C0590E2" w14:textId="7BD08879" w:rsidR="0017542F" w:rsidRPr="004F7D8C" w:rsidRDefault="0017542F" w:rsidP="0017542F">
            <w:pPr>
              <w:spacing w:before="80" w:after="80"/>
            </w:pPr>
            <w:r w:rsidRPr="004F7D8C">
              <w:t xml:space="preserve">New </w:t>
            </w:r>
            <w:r w:rsidR="009C682A">
              <w:t>self-test</w:t>
            </w:r>
            <w:r w:rsidRPr="004F7D8C">
              <w:t xml:space="preserve"> sensitivity</w:t>
            </w:r>
          </w:p>
        </w:tc>
        <w:tc>
          <w:tcPr>
            <w:tcW w:w="1042" w:type="pct"/>
          </w:tcPr>
          <w:p w14:paraId="5C9410A1" w14:textId="186B215F" w:rsidR="0017542F" w:rsidRPr="004F7D8C" w:rsidRDefault="0017542F" w:rsidP="0017542F">
            <w:pPr>
              <w:spacing w:before="80" w:after="80"/>
            </w:pPr>
            <w:r w:rsidRPr="004F7D8C">
              <w:t>95%</w:t>
            </w:r>
          </w:p>
        </w:tc>
        <w:tc>
          <w:tcPr>
            <w:tcW w:w="1826" w:type="pct"/>
          </w:tcPr>
          <w:p w14:paraId="04A73981" w14:textId="59334420" w:rsidR="0017542F" w:rsidRPr="004F7D8C" w:rsidRDefault="00767143" w:rsidP="0017542F">
            <w:pPr>
              <w:spacing w:before="80" w:after="80"/>
            </w:pPr>
            <w:r>
              <w:t>Hypothetical value, varied in sensitivity analyses</w:t>
            </w:r>
          </w:p>
        </w:tc>
      </w:tr>
      <w:tr w:rsidR="0017542F" w:rsidRPr="004E5621" w14:paraId="53E25841" w14:textId="1E55C73B" w:rsidTr="000F1A89">
        <w:tc>
          <w:tcPr>
            <w:tcW w:w="2132" w:type="pct"/>
          </w:tcPr>
          <w:p w14:paraId="69A2B169" w14:textId="46E64BD6" w:rsidR="0017542F" w:rsidRPr="004F7D8C" w:rsidRDefault="0017542F" w:rsidP="0017542F">
            <w:pPr>
              <w:spacing w:before="80" w:after="80"/>
            </w:pPr>
            <w:r w:rsidRPr="004F7D8C">
              <w:t>New</w:t>
            </w:r>
            <w:r w:rsidR="009C682A">
              <w:t xml:space="preserve"> self-test</w:t>
            </w:r>
            <w:r w:rsidRPr="004F7D8C">
              <w:t xml:space="preserve"> specificity – never infected</w:t>
            </w:r>
          </w:p>
        </w:tc>
        <w:tc>
          <w:tcPr>
            <w:tcW w:w="1042" w:type="pct"/>
          </w:tcPr>
          <w:p w14:paraId="217D02D5" w14:textId="05A4A0EA" w:rsidR="0017542F" w:rsidRPr="004F7D8C" w:rsidRDefault="0017542F" w:rsidP="0017542F">
            <w:pPr>
              <w:spacing w:before="80" w:after="80"/>
            </w:pPr>
            <w:r w:rsidRPr="004F7D8C">
              <w:t>100%</w:t>
            </w:r>
          </w:p>
        </w:tc>
        <w:tc>
          <w:tcPr>
            <w:tcW w:w="1826" w:type="pct"/>
          </w:tcPr>
          <w:p w14:paraId="5BC8F334" w14:textId="41D3A9D2" w:rsidR="0017542F" w:rsidRPr="004F7D8C" w:rsidRDefault="00767143" w:rsidP="0017542F">
            <w:pPr>
              <w:spacing w:before="80" w:after="80"/>
            </w:pPr>
            <w:r>
              <w:t>Hypothetical value, varied in sensitivity analyses</w:t>
            </w:r>
          </w:p>
        </w:tc>
      </w:tr>
      <w:tr w:rsidR="0017542F" w:rsidRPr="004E5621" w14:paraId="35228E42" w14:textId="47270AC0" w:rsidTr="000F1A89">
        <w:tc>
          <w:tcPr>
            <w:tcW w:w="2132" w:type="pct"/>
          </w:tcPr>
          <w:p w14:paraId="2D609C44" w14:textId="17FB7135" w:rsidR="0017542F" w:rsidRPr="004F7D8C" w:rsidRDefault="0017542F" w:rsidP="0017542F">
            <w:pPr>
              <w:spacing w:before="80" w:after="80"/>
            </w:pPr>
            <w:r w:rsidRPr="004F7D8C">
              <w:t xml:space="preserve">New </w:t>
            </w:r>
            <w:r w:rsidR="009C682A">
              <w:t>self-test</w:t>
            </w:r>
            <w:r w:rsidRPr="004F7D8C">
              <w:t xml:space="preserve"> specificity – previously infected</w:t>
            </w:r>
          </w:p>
        </w:tc>
        <w:tc>
          <w:tcPr>
            <w:tcW w:w="1042" w:type="pct"/>
          </w:tcPr>
          <w:p w14:paraId="6E57B0B2" w14:textId="228B33A6" w:rsidR="0017542F" w:rsidRPr="004F7D8C" w:rsidRDefault="002243A3" w:rsidP="0017542F">
            <w:pPr>
              <w:spacing w:before="80" w:after="80"/>
            </w:pPr>
            <w:r>
              <w:t>90</w:t>
            </w:r>
            <w:r w:rsidR="0017542F" w:rsidRPr="004F7D8C">
              <w:t>%</w:t>
            </w:r>
          </w:p>
        </w:tc>
        <w:tc>
          <w:tcPr>
            <w:tcW w:w="1826" w:type="pct"/>
          </w:tcPr>
          <w:p w14:paraId="3FD44111" w14:textId="7026B148" w:rsidR="0017542F" w:rsidRPr="004F7D8C" w:rsidRDefault="00767143" w:rsidP="0017542F">
            <w:pPr>
              <w:spacing w:before="80" w:after="80"/>
            </w:pPr>
            <w:r>
              <w:t>Hypothetical value, varied in sensitivity analyses</w:t>
            </w:r>
          </w:p>
        </w:tc>
      </w:tr>
      <w:tr w:rsidR="00603D47" w:rsidRPr="004E5621" w14:paraId="2202AA7C" w14:textId="77777777" w:rsidTr="000F1A89">
        <w:tc>
          <w:tcPr>
            <w:tcW w:w="2132" w:type="pct"/>
          </w:tcPr>
          <w:p w14:paraId="68ECAC50" w14:textId="7CB8E315" w:rsidR="00603D47" w:rsidRPr="00603D47" w:rsidRDefault="00603D47" w:rsidP="00603D47">
            <w:pPr>
              <w:spacing w:before="80" w:after="80"/>
            </w:pPr>
            <w:r w:rsidRPr="00603D47">
              <w:t>TP-specific test 1 sensitivities (primary, secondary, early latent, late latent, tertiary)</w:t>
            </w:r>
          </w:p>
        </w:tc>
        <w:tc>
          <w:tcPr>
            <w:tcW w:w="1042" w:type="pct"/>
          </w:tcPr>
          <w:p w14:paraId="5A9B7451" w14:textId="5BECA705" w:rsidR="00603D47" w:rsidRPr="00603D47" w:rsidRDefault="00603D47" w:rsidP="00603D47">
            <w:pPr>
              <w:spacing w:before="80" w:after="80"/>
            </w:pPr>
            <w:r w:rsidRPr="00603D47">
              <w:t xml:space="preserve">100%, 100%, 100%, 100%, 100% </w:t>
            </w:r>
          </w:p>
        </w:tc>
        <w:tc>
          <w:tcPr>
            <w:tcW w:w="1826" w:type="pct"/>
          </w:tcPr>
          <w:p w14:paraId="1162E381" w14:textId="77777777" w:rsidR="001F1A7D" w:rsidRDefault="00603D47" w:rsidP="009D3B9E">
            <w:r w:rsidRPr="00603D47">
              <w:t>Conservative estimates based on</w:t>
            </w:r>
            <w:r w:rsidR="001464DF">
              <w:t xml:space="preserve"> </w:t>
            </w:r>
            <w:r w:rsidR="001464DF">
              <w:fldChar w:fldCharType="begin">
                <w:fldData xml:space="preserve">PEVuZE5vdGU+PENpdGU+PEF1dGhvcj5QYXJrPC9BdXRob3I+PFllYXI+MjAyMDwvWWVhcj48UmVj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</w:fldData>
              </w:fldChar>
            </w:r>
            <w:r w:rsidR="000E69A6">
              <w:instrText xml:space="preserve"> ADDIN EN.CITE </w:instrText>
            </w:r>
            <w:r w:rsidR="000E69A6">
              <w:fldChar w:fldCharType="begin">
                <w:fldData xml:space="preserve">PEVuZE5vdGU+PENpdGU+PEF1dGhvcj5QYXJrPC9BdXRob3I+PFllYXI+MjAyMDwvWWVhcj48UmVj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</w:fldData>
              </w:fldChar>
            </w:r>
            <w:r w:rsidR="000E69A6">
              <w:instrText xml:space="preserve"> ADDIN EN.CITE.DATA </w:instrText>
            </w:r>
            <w:r w:rsidR="000E69A6">
              <w:fldChar w:fldCharType="end"/>
            </w:r>
            <w:r w:rsidR="001464DF">
              <w:fldChar w:fldCharType="separate"/>
            </w:r>
            <w:r w:rsidR="000E69A6">
              <w:rPr>
                <w:noProof/>
              </w:rPr>
              <w:t>[4, 5]</w:t>
            </w:r>
            <w:r w:rsidR="001464DF">
              <w:fldChar w:fldCharType="end"/>
            </w:r>
            <w:r w:rsidRPr="00603D47">
              <w:t xml:space="preserve"> </w:t>
            </w:r>
          </w:p>
          <w:p w14:paraId="18CA3FEA" w14:textId="589CC5F3" w:rsidR="00603D47" w:rsidRPr="00603D47" w:rsidRDefault="00603D47" w:rsidP="009D3B9E">
            <w:r w:rsidRPr="00603D47">
              <w:lastRenderedPageBreak/>
              <w:t>Prioritises data for Abbott Architect TP as commonly used test in Australia with best available staging data</w:t>
            </w:r>
          </w:p>
        </w:tc>
      </w:tr>
      <w:tr w:rsidR="00603D47" w:rsidRPr="004E5621" w14:paraId="20FD4CBC" w14:textId="77777777" w:rsidTr="000F1A89">
        <w:tc>
          <w:tcPr>
            <w:tcW w:w="2132" w:type="pct"/>
          </w:tcPr>
          <w:p w14:paraId="7546B600" w14:textId="6AB2B93A" w:rsidR="00603D47" w:rsidRPr="00603D47" w:rsidRDefault="00603D47" w:rsidP="00603D47">
            <w:pPr>
              <w:spacing w:before="80" w:after="80"/>
            </w:pPr>
            <w:r w:rsidRPr="00603D47">
              <w:lastRenderedPageBreak/>
              <w:t>Averaged TP-specific test 1 sensitivity, current infection</w:t>
            </w:r>
          </w:p>
        </w:tc>
        <w:tc>
          <w:tcPr>
            <w:tcW w:w="1042" w:type="pct"/>
          </w:tcPr>
          <w:p w14:paraId="34C10E3E" w14:textId="6578C60D" w:rsidR="00603D47" w:rsidRPr="00603D47" w:rsidRDefault="00603D47" w:rsidP="00603D47">
            <w:pPr>
              <w:spacing w:before="80" w:after="80"/>
            </w:pPr>
            <w:r w:rsidRPr="00603D47">
              <w:t>100%</w:t>
            </w:r>
          </w:p>
        </w:tc>
        <w:tc>
          <w:tcPr>
            <w:tcW w:w="1826" w:type="pct"/>
          </w:tcPr>
          <w:p w14:paraId="6D4C3E42" w14:textId="35B72ADA" w:rsidR="00603D47" w:rsidRPr="00603D47" w:rsidRDefault="00603D47" w:rsidP="00603D47">
            <w:pPr>
              <w:spacing w:before="80" w:after="80"/>
            </w:pPr>
            <w:r w:rsidRPr="00603D47">
              <w:t>Weighted average of test sensitivities</w:t>
            </w:r>
          </w:p>
        </w:tc>
      </w:tr>
      <w:tr w:rsidR="00603D47" w:rsidRPr="004E5621" w14:paraId="55AD61E5" w14:textId="77777777" w:rsidTr="000F1A89">
        <w:tc>
          <w:tcPr>
            <w:tcW w:w="2132" w:type="pct"/>
          </w:tcPr>
          <w:p w14:paraId="3AAF4FDA" w14:textId="7644B72D" w:rsidR="00603D47" w:rsidRPr="00603D47" w:rsidRDefault="00603D47" w:rsidP="00603D47">
            <w:pPr>
              <w:spacing w:before="80" w:after="80"/>
            </w:pPr>
            <w:r w:rsidRPr="00603D47">
              <w:t>TP-specific test 1 sensitivity, persistent reactivity</w:t>
            </w:r>
          </w:p>
        </w:tc>
        <w:tc>
          <w:tcPr>
            <w:tcW w:w="1042" w:type="pct"/>
          </w:tcPr>
          <w:p w14:paraId="72971EB5" w14:textId="45342A0A" w:rsidR="00603D47" w:rsidRPr="00603D47" w:rsidRDefault="00603D47" w:rsidP="00603D47">
            <w:pPr>
              <w:spacing w:before="80" w:after="80"/>
            </w:pPr>
            <w:r w:rsidRPr="00603D47">
              <w:t>96.3%</w:t>
            </w:r>
          </w:p>
        </w:tc>
        <w:tc>
          <w:tcPr>
            <w:tcW w:w="1826" w:type="pct"/>
          </w:tcPr>
          <w:p w14:paraId="2A81EEA8" w14:textId="3DDDEE28" w:rsidR="00603D47" w:rsidRPr="00603D47" w:rsidRDefault="00603D47" w:rsidP="00603D47">
            <w:pPr>
              <w:spacing w:before="80" w:after="80"/>
            </w:pPr>
            <w:r w:rsidRPr="00603D47">
              <w:t xml:space="preserve">Conservative estimate, based on </w:t>
            </w:r>
            <w:r w:rsidR="006F2662">
              <w:fldChar w:fldCharType="begin"/>
            </w:r>
            <w:r w:rsidR="006F2662">
              <w:instrText xml:space="preserve"> ADDIN EN.CITE &lt;EndNote&gt;&lt;Cite&gt;&lt;Author&gt;Park&lt;/Author&gt;&lt;Year&gt;2019&lt;/Year&gt;&lt;RecNum&gt;11&lt;/RecNum&gt;&lt;DisplayText&gt;[6]&lt;/DisplayText&gt;&lt;record&gt;&lt;rec-number&gt;11&lt;/rec-number&gt;&lt;foreign-keys&gt;&lt;key app="EN" db-id="xavwzvaen5rp2fe9w2sxep0rvfwfesxa9z9r" timestamp="1756101764"&gt;11&lt;/key&gt;&lt;/foreign-keys&gt;&lt;ref-type name="Journal Article"&gt;17&lt;/ref-type&gt;&lt;contributors&gt;&lt;authors&gt;&lt;author&gt;Park, Ina U.&lt;/author&gt;&lt;author&gt;Fakile, Yetunde F.&lt;/author&gt;&lt;author&gt;Chow, Joan M.&lt;/author&gt;&lt;author&gt;Gustafson, Kathleen J.&lt;/author&gt;&lt;author&gt;Jost, Heather&lt;/author&gt;&lt;author&gt;Schapiro, Jeffrey M.&lt;/author&gt;&lt;author&gt;Novak-Weekley, Susan&lt;/author&gt;&lt;author&gt;Tran, Anthony&lt;/author&gt;&lt;author&gt;Nomura, Jim H.&lt;/author&gt;&lt;author&gt;Chen, Victor&lt;/author&gt;&lt;author&gt;Beheshti, Manie&lt;/author&gt;&lt;author&gt;Tsai, Townson&lt;/author&gt;&lt;author&gt;Hoover, Karen&lt;/author&gt;&lt;author&gt;Bolan, Gail&lt;/author&gt;&lt;/authors&gt;&lt;/contributors&gt;&lt;titles&gt;&lt;title&gt;Performance of Treponemal Tests for the Diagnosis of Syphilis&lt;/title&gt;&lt;secondary-title&gt;Clinical Infectious Diseases&lt;/secondary-title&gt;&lt;/titles&gt;&lt;periodical&gt;&lt;full-title&gt;Clinical Infectious Diseases&lt;/full-title&gt;&lt;abbr-1&gt;Clinical Infectious Diseases&lt;/abbr-1&gt;&lt;/periodical&gt;&lt;pages&gt;913-918&lt;/pages&gt;&lt;volume&gt;68&lt;/volume&gt;&lt;number&gt;6&lt;/number&gt;&lt;dates&gt;&lt;year&gt;2019&lt;/year&gt;&lt;pub-dates&gt;&lt;date&gt;2019/03/05/&lt;/date&gt;&lt;/pub-dates&gt;&lt;/dates&gt;&lt;isbn&gt;1058-4838, 1537-6591&lt;/isbn&gt;&lt;urls&gt;&lt;related-urls&gt;&lt;url&gt;https://academic.oup.com/cid/article/68/6/913/5050740&lt;/url&gt;&lt;/related-urls&gt;&lt;/urls&gt;&lt;electronic-resource-num&gt;10.1093/cid/ciy558&lt;/electronic-resource-num&gt;&lt;remote-database-provider&gt;DOI.org (Crossref)&lt;/remote-database-provider&gt;&lt;language&gt;en&lt;/language&gt;&lt;access-date&gt;2024/07/08/06:51:16&lt;/access-date&gt;&lt;/record&gt;&lt;/Cite&gt;&lt;/EndNote&gt;</w:instrText>
            </w:r>
            <w:r w:rsidR="006F2662">
              <w:fldChar w:fldCharType="separate"/>
            </w:r>
            <w:r w:rsidR="006F2662">
              <w:rPr>
                <w:noProof/>
              </w:rPr>
              <w:t>[6]</w:t>
            </w:r>
            <w:r w:rsidR="006F2662">
              <w:fldChar w:fldCharType="end"/>
            </w:r>
          </w:p>
        </w:tc>
      </w:tr>
      <w:tr w:rsidR="00603D47" w:rsidRPr="004E5621" w14:paraId="5F037449" w14:textId="77777777" w:rsidTr="000F1A89">
        <w:tc>
          <w:tcPr>
            <w:tcW w:w="2132" w:type="pct"/>
          </w:tcPr>
          <w:p w14:paraId="013282A0" w14:textId="40963637" w:rsidR="00603D47" w:rsidRPr="00603D47" w:rsidRDefault="00603D47" w:rsidP="00603D47">
            <w:pPr>
              <w:spacing w:before="80" w:after="80"/>
            </w:pPr>
            <w:r w:rsidRPr="00603D47">
              <w:t>TP-specific test 1 specificity</w:t>
            </w:r>
          </w:p>
        </w:tc>
        <w:tc>
          <w:tcPr>
            <w:tcW w:w="1042" w:type="pct"/>
          </w:tcPr>
          <w:p w14:paraId="09C9F341" w14:textId="5DAAA988" w:rsidR="00603D47" w:rsidRPr="00603D47" w:rsidRDefault="00603D47" w:rsidP="00603D47">
            <w:pPr>
              <w:spacing w:before="80" w:after="80"/>
            </w:pPr>
            <w:r w:rsidRPr="00603D47">
              <w:t>97.3%</w:t>
            </w:r>
          </w:p>
        </w:tc>
        <w:tc>
          <w:tcPr>
            <w:tcW w:w="1826" w:type="pct"/>
          </w:tcPr>
          <w:p w14:paraId="2385CC83" w14:textId="68855A2F" w:rsidR="00603D47" w:rsidRPr="00603D47" w:rsidRDefault="00603D47" w:rsidP="00603D47">
            <w:pPr>
              <w:spacing w:before="80" w:after="80"/>
            </w:pPr>
            <w:r w:rsidRPr="00603D47">
              <w:t>Abbott Architect TP</w:t>
            </w:r>
            <w:r w:rsidR="006F2662">
              <w:t xml:space="preserve"> </w:t>
            </w:r>
            <w:r w:rsidR="008A7DBE">
              <w:fldChar w:fldCharType="begin"/>
            </w:r>
            <w:r w:rsidR="008A7DBE">
              <w:instrText xml:space="preserve"> ADDIN EN.CITE &lt;EndNote&gt;&lt;Cite&gt;&lt;Author&gt;Park&lt;/Author&gt;&lt;Year&gt;2020&lt;/Year&gt;&lt;RecNum&gt;12&lt;/RecNum&gt;&lt;DisplayText&gt;[4]&lt;/DisplayText&gt;&lt;record&gt;&lt;rec-number&gt;12&lt;/rec-number&gt;&lt;foreign-keys&gt;&lt;key app="EN" db-id="xavwzvaen5rp2fe9w2sxep0rvfwfesxa9z9r" timestamp="1756101764"&gt;12&lt;/key&gt;&lt;/foreign-keys&gt;&lt;ref-type name="Journal Article"&gt;17&lt;/ref-type&gt;&lt;contributors&gt;&lt;authors&gt;&lt;author&gt;Park, Ina U.&lt;/author&gt;&lt;author&gt;Tran, Anthony&lt;/author&gt;&lt;author&gt;Pereira, Lara&lt;/author&gt;&lt;author&gt;Fakile, Yetunde&lt;/author&gt;&lt;/authors&gt;&lt;/contributors&gt;&lt;titles&gt;&lt;title&gt;Sensitivity and Specificity of Treponemal-specific Tests for the Diagnosis of Syphilis&lt;/title&gt;&lt;secondary-title&gt;Clinical Infectious Diseases&lt;/secondary-title&gt;&lt;/titles&gt;&lt;periodical&gt;&lt;full-title&gt;Clinical Infectious Diseases&lt;/full-title&gt;&lt;abbr-1&gt;Clinical Infectious Diseases&lt;/abbr-1&gt;&lt;/periodical&gt;&lt;pages&gt;S13-S20&lt;/pages&gt;&lt;volume&gt;71&lt;/volume&gt;&lt;number&gt;Supplement_1&lt;/number&gt;&lt;dates&gt;&lt;year&gt;2020&lt;/year&gt;&lt;pub-dates&gt;&lt;date&gt;2020/06/24/&lt;/date&gt;&lt;/pub-dates&gt;&lt;/dates&gt;&lt;isbn&gt;1058-4838, 1537-6591&lt;/isbn&gt;&lt;urls&gt;&lt;related-urls&gt;&lt;url&gt;https://academic.oup.com/cid/article/71/Supplement_1/S13/5861811&lt;/url&gt;&lt;/related-urls&gt;&lt;/urls&gt;&lt;electronic-resource-num&gt;10.1093/cid/ciaa349&lt;/electronic-resource-num&gt;&lt;remote-database-provider&gt;DOI.org (Crossref)&lt;/remote-database-provider&gt;&lt;language&gt;en&lt;/language&gt;&lt;access-date&gt;2024/07/08/06:53:07&lt;/access-date&gt;&lt;/record&gt;&lt;/Cite&gt;&lt;/EndNote&gt;</w:instrText>
            </w:r>
            <w:r w:rsidR="008A7DBE">
              <w:fldChar w:fldCharType="separate"/>
            </w:r>
            <w:r w:rsidR="008A7DBE">
              <w:rPr>
                <w:noProof/>
              </w:rPr>
              <w:t>[4]</w:t>
            </w:r>
            <w:r w:rsidR="008A7DBE">
              <w:fldChar w:fldCharType="end"/>
            </w:r>
            <w:r w:rsidRPr="00603D47">
              <w:t xml:space="preserve"> </w:t>
            </w:r>
          </w:p>
        </w:tc>
      </w:tr>
      <w:tr w:rsidR="00603D47" w:rsidRPr="004E5621" w14:paraId="25E2F970" w14:textId="77777777" w:rsidTr="000F1A89">
        <w:tc>
          <w:tcPr>
            <w:tcW w:w="2132" w:type="pct"/>
          </w:tcPr>
          <w:p w14:paraId="355DE95D" w14:textId="05AB82B1" w:rsidR="00603D47" w:rsidRPr="00603D47" w:rsidRDefault="00603D47" w:rsidP="00603D47">
            <w:pPr>
              <w:spacing w:before="80" w:after="80"/>
            </w:pPr>
            <w:r w:rsidRPr="00603D47">
              <w:t>TP-specific test 2 sensitivities (primary, secondary, early latent, late latent, tertiary)</w:t>
            </w:r>
          </w:p>
        </w:tc>
        <w:tc>
          <w:tcPr>
            <w:tcW w:w="1042" w:type="pct"/>
          </w:tcPr>
          <w:p w14:paraId="6ECE7225" w14:textId="0A2868FF" w:rsidR="00603D47" w:rsidRPr="00603D47" w:rsidRDefault="00603D47" w:rsidP="00603D47">
            <w:pPr>
              <w:spacing w:before="80" w:after="80"/>
            </w:pPr>
            <w:r w:rsidRPr="00603D47">
              <w:t>94.5%, 100%, 100%, 86.8%, 94</w:t>
            </w:r>
            <w:r w:rsidR="00B91242">
              <w:t>.0</w:t>
            </w:r>
            <w:r w:rsidRPr="00603D47">
              <w:t>%</w:t>
            </w:r>
          </w:p>
        </w:tc>
        <w:tc>
          <w:tcPr>
            <w:tcW w:w="1826" w:type="pct"/>
          </w:tcPr>
          <w:p w14:paraId="00FDDBB9" w14:textId="15CC9CB9" w:rsidR="00603D47" w:rsidRPr="00603D47" w:rsidRDefault="00603D47" w:rsidP="00603D47">
            <w:pPr>
              <w:spacing w:before="80" w:after="80"/>
            </w:pPr>
            <w:r w:rsidRPr="00603D47">
              <w:t>TPPA data from</w:t>
            </w:r>
            <w:r w:rsidR="00A34F9F">
              <w:t xml:space="preserve"> </w:t>
            </w:r>
            <w:r w:rsidR="00A34F9F">
              <w:fldChar w:fldCharType="begin">
                <w:fldData xml:space="preserve">PEVuZE5vdGU+PENpdGU+PEF1dGhvcj5QYXJrPC9BdXRob3I+PFllYXI+MjAxOTwvWWVhcj48UmVj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</w:fldData>
              </w:fldChar>
            </w:r>
            <w:r w:rsidR="00583A40">
              <w:instrText xml:space="preserve"> ADDIN EN.CITE </w:instrText>
            </w:r>
            <w:r w:rsidR="00583A40">
              <w:fldChar w:fldCharType="begin">
                <w:fldData xml:space="preserve">PEVuZE5vdGU+PENpdGU+PEF1dGhvcj5QYXJrPC9BdXRob3I+PFllYXI+MjAxOTwvWWVhcj48UmVj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</w:fldData>
              </w:fldChar>
            </w:r>
            <w:r w:rsidR="00583A40">
              <w:instrText xml:space="preserve"> ADDIN EN.CITE.DATA </w:instrText>
            </w:r>
            <w:r w:rsidR="00583A40">
              <w:fldChar w:fldCharType="end"/>
            </w:r>
            <w:r w:rsidR="00A34F9F">
              <w:fldChar w:fldCharType="separate"/>
            </w:r>
            <w:r w:rsidR="00583A40">
              <w:rPr>
                <w:noProof/>
              </w:rPr>
              <w:t>[6, 7]</w:t>
            </w:r>
            <w:r w:rsidR="00A34F9F">
              <w:fldChar w:fldCharType="end"/>
            </w:r>
            <w:r w:rsidRPr="00603D47">
              <w:t xml:space="preserve"> </w:t>
            </w:r>
            <w:r w:rsidR="00583A40">
              <w:t>(</w:t>
            </w:r>
            <w:r w:rsidRPr="00603D47">
              <w:t xml:space="preserve">most commonly used confirmatory test in Australia) </w:t>
            </w:r>
            <w:r w:rsidRPr="00603D47">
              <w:fldChar w:fldCharType="begin"/>
            </w:r>
            <w:r w:rsidRPr="00603D47">
              <w:instrText xml:space="preserve"> ADDIN ZOTERO_ITEM CSL_CITATION {"citationID":"1jPi5OWy","properties":{"formattedCitation":"(7,32,34\\uc0\\u8211{}36)","plainCitation":"(7,32,34–36)","noteIndex":0},"citationItems":[{"id":27,"uris":["http://zotero.org/users/local/kcsUIZlv/items/TCXLX64W"],"itemData":{"id":27,"type":"document","language":"en","publisher":"Australian Government Department of Health and Aged Care","source":"Zotero","title":"Syphilis – CDNA National Guidelines for Public Health Units","URL":"https://www.health.gov.au/sites/default/files/2023-11/syphilis-cdna-national-guidelines-for-public-health-units.pdf","contributor":[{"literal":"Communicable Diseases Network Australia"},{"literal":"Australian Health Protection Principal Committee"}],"issued":{"date-parts":[["2018",8,3]]}}},{"id":13,"uris":["http://zotero.org/users/local/kcsUIZlv/items/QYPI4T79"],"itemData":{"id":13,"type":"article-journal","title":"Screening for Syphilis in Nonpregnant Adolescents and Adults: Systematic Review to Update the 2004 U.S. Preventive Services Task Force Recommendation","author":[{"family":"Cantor","given":""}]}},{"id":20,"uris":["http://zotero.org/users/local/kcsUIZlv/items/EYYBKWYT"],"itemData":{"id":20,"type":"article-journal","abstract":"Background.  Treponemal immunoassays are increasingly used for syphilis screening with the reverse sequence algorithm. There are few data describing performance of treponemal immunoassays compared to traditional treponemal tests in patients with and without syphilis.\nMethods.  We calculated sensitivity and specificity of 7 treponemal assays: (1) ADVIA Centaur (chemiluminescence immunoassay [CIA]); (2) Bioplex 2200 (microbead immunoassay); (3) fluorescent treponemal antibody absorption test (FTA-ABS); (4) INNO-LIA (line immunoassay); (5) LIAISON CIA; (6) Treponema pallidum particle agglutination assay (TPPA); and (7) Trep-Sure (enzyme immunoassay [EIA]), using a reference standard combining clinical diagnosis and serology results. Sera were collected between May 2012–January 2013. Cases were characterized as: (1) current clinical diagnosis of syphilis: primary, secondary, early latent, late latent; (2) prior treated syphilis only; (3) no evidence of current syphilis, no prior history of syphilis, and at least 4 of 7 treponemal tests negative.\nResults.  Among 959 participants, 262 had current syphilis, 294 had prior syphilis, and 403 did not have syphilis. FTA-ABS was less sensitive for primary syphilis (78.2%) than the immunoassays or TPPA (94.5%–96.4%) (all P ≤ .01). All immunoassays were 100% sensitive for secondary syphilis, 95.2%–100% sensitive for early latent disease, and 86.8%–98.5% sensitive in late latent disease. TPPA had 100% specificity.\nConclusions.  Treponemal immunoassays demonstrated excellent sensitivity for secondary, early latent, and seropositive primary syphilis. Sensitivity of FTA-ABS in primary syphilis was poor. Given its high specificity and superior sensitivity, TPPA is preferred to adjudicate discordant results with the reverse sequence algorithm over the FTA-ABS.","container-title":"Clinical Infectious Diseases","DOI":"10.1093/cid/ciy558","ISSN":"1058-4838, 1537-6591","issue":"6","language":"en","page":"913-918","source":"DOI.org (Crossref)","title":"Performance of Treponemal Tests for the Diagnosis of Syphilis","volume":"68","author":[{"family":"Park","given":"Ina U"},{"family":"Fakile","given":"Yetunde F"},{"family":"Chow","given":"Joan M"},{"family":"Gustafson","given":"Kathleen J"},{"family":"Jost","given":"Heather"},{"family":"Schapiro","given":"Jeffrey M"},{"family":"Novak-Weekley","given":"Susan"},{"family":"Tran","given":"Anthony"},{"family":"Nomura","given":"Jim H"},{"family":"Chen","given":"Victor"},{"family":"Beheshti","given":"Manie"},{"family":"Tsai","given":"Townson"},{"family":"Hoover","given":"Karen"},{"family":"Bolan","given":"Gail"}],"issued":{"date-parts":[["2019",3,5]]}}},{"id":22,"uris":["http://zotero.org/users/local/kcsUIZlv/items/RDNMI7QG"],"itemData":{"id":22,"type":"article-journal","abstract":"Abstract\n            We conducted a systematic review of relevant syphilis diagnostic literature to address the question, “What is the sensitivity and specificity of the treponemal tests currently approved by the Food and Drug Administration (FDA) for the diagnosis of syphilis (by stage)?” There were 16 treponemal assays evaluated: 13 immunoassays and 3 manual assays (fluorescent treponemal antibody absorbed test [FTA-ABS], microhemagglutination assay for Treponema pallidum antibodies [MHA-TP], Treponema pallidum particle agglutination assay [TP-PA]). MHA-TP and FTA-ABS were less sensitive in primary and secondary syphilis than TP-PA; TP-PA is the most specific manual treponemal assay. There is insufficient evidence to recommend one particular treponemal immunoassay (eg, enzyme immunoassays, chemiluminescence immunoassays, microbead immunoassays) over another based on published performance data. For diagnosis of neurosyphilis, cerebrospinal fluid (CSF) TP-PA has similar performance to CSF FTA-ABS in studies with patients with definitive or presumptive neurosyphilis. However, CSF treponemal testing has limitations in its sensitivity and specificity and should be interpreted within the context of the clinical scenario, additional CSF test results and syphilis prevalence.","container-title":"Clinical Infectious Diseases","DOI":"10.1093/cid/ciaa349","ISSN":"1058-4838, 1537-6591","issue":"Supplement_1","language":"en","license":"http://creativecommons.org/licenses/by/4.0/","page":"S13-S20","source":"DOI.org (Crossref)","title":"Sensitivity and Specificity of Treponemal-specific Tests for the Diagnosis of Syphilis","volume":"71","author":[{"family":"Park","given":"Ina U"},{"family":"Tran","given":"Anthony"},{"family":"Pereira","given":"Lara"},{"family":"Fakile","given":"Yetunde"}],"issued":{"date-parts":[["2020",6,24]]}}},{"id":23,"uris":["http://zotero.org/users/local/kcsUIZlv/items/9V3EA54K"],"itemData":{"id":23,"type":"article-journal","container-title":"Journal of Clinical Microbiology","issue":"10","language":"en","note":"DOI: 10.1128/jcm.00100-21","page":"e00100-21","title":"The Laboratory Diagnosis of Syphilis","volume":"59","author":[{"family":"Satyaputra","given":"Ferris"},{"family":"Hendry","given":"Stephanie"},{"family":"Braddick","given":"Maxwell"},{"family":"Sivabalan","given":"Pirathaban"},{"family":"Norton","given":"Robert"}],"issued":{"date-parts":[["2021",10]]}}}],"schema":"https://github.com/citation-style-language/schema/raw/master/csl-citation.json"} </w:instrText>
            </w:r>
            <w:r w:rsidRPr="00603D47">
              <w:fldChar w:fldCharType="separate"/>
            </w:r>
            <w:r w:rsidRPr="00603D47">
              <w:fldChar w:fldCharType="end"/>
            </w:r>
          </w:p>
        </w:tc>
      </w:tr>
      <w:tr w:rsidR="00603D47" w:rsidRPr="004E5621" w14:paraId="37181C6B" w14:textId="77777777" w:rsidTr="000F1A89">
        <w:tc>
          <w:tcPr>
            <w:tcW w:w="2132" w:type="pct"/>
          </w:tcPr>
          <w:p w14:paraId="458C9FF0" w14:textId="656C0DA7" w:rsidR="00603D47" w:rsidRPr="00603D47" w:rsidRDefault="00603D47" w:rsidP="00603D47">
            <w:pPr>
              <w:spacing w:before="80" w:after="80"/>
            </w:pPr>
            <w:r w:rsidRPr="00603D47">
              <w:t>Averaged TP-specific test 2 sensitivity, current infection</w:t>
            </w:r>
          </w:p>
        </w:tc>
        <w:tc>
          <w:tcPr>
            <w:tcW w:w="1042" w:type="pct"/>
          </w:tcPr>
          <w:p w14:paraId="3EE0960D" w14:textId="5F39926A" w:rsidR="00603D47" w:rsidRPr="00603D47" w:rsidRDefault="00363046" w:rsidP="00603D47">
            <w:pPr>
              <w:spacing w:before="80" w:after="80"/>
            </w:pPr>
            <w:r>
              <w:t>96.0%</w:t>
            </w:r>
          </w:p>
        </w:tc>
        <w:tc>
          <w:tcPr>
            <w:tcW w:w="1826" w:type="pct"/>
          </w:tcPr>
          <w:p w14:paraId="48E93EB9" w14:textId="32A2F59D" w:rsidR="00603D47" w:rsidRPr="00603D47" w:rsidRDefault="00603D47" w:rsidP="00603D47">
            <w:pPr>
              <w:spacing w:before="80" w:after="80"/>
            </w:pPr>
            <w:r w:rsidRPr="00603D47">
              <w:t>Weighted average of test sensitivities</w:t>
            </w:r>
          </w:p>
        </w:tc>
      </w:tr>
      <w:tr w:rsidR="00603D47" w:rsidRPr="004E5621" w14:paraId="39E8A0EE" w14:textId="77777777" w:rsidTr="000F1A89">
        <w:tc>
          <w:tcPr>
            <w:tcW w:w="2132" w:type="pct"/>
          </w:tcPr>
          <w:p w14:paraId="5769015E" w14:textId="383C6E46" w:rsidR="00603D47" w:rsidRPr="00603D47" w:rsidRDefault="00603D47" w:rsidP="00603D47">
            <w:pPr>
              <w:spacing w:before="80" w:after="80"/>
            </w:pPr>
            <w:r w:rsidRPr="00603D47">
              <w:t>TP-specific test 2 sensitivity, persistent reactivity</w:t>
            </w:r>
          </w:p>
        </w:tc>
        <w:tc>
          <w:tcPr>
            <w:tcW w:w="1042" w:type="pct"/>
          </w:tcPr>
          <w:p w14:paraId="726654ED" w14:textId="015F45C8" w:rsidR="00603D47" w:rsidRPr="00603D47" w:rsidRDefault="00603D47" w:rsidP="00603D47">
            <w:pPr>
              <w:spacing w:before="80" w:after="80"/>
            </w:pPr>
            <w:r w:rsidRPr="00603D47">
              <w:t>92.5%</w:t>
            </w:r>
          </w:p>
        </w:tc>
        <w:tc>
          <w:tcPr>
            <w:tcW w:w="1826" w:type="pct"/>
          </w:tcPr>
          <w:p w14:paraId="5AD509DF" w14:textId="7B413B00" w:rsidR="00603D47" w:rsidRPr="00603D47" w:rsidRDefault="00C81E68" w:rsidP="00603D47">
            <w:pPr>
              <w:spacing w:before="80" w:after="80"/>
            </w:pPr>
            <w:r w:rsidRPr="00C81E68">
              <w:fldChar w:fldCharType="begin"/>
            </w:r>
            <w:r w:rsidRPr="00C81E68">
              <w:instrText xml:space="preserve"> ADDIN EN.CITE &lt;EndNote&gt;&lt;Cite&gt;&lt;Author&gt;Park&lt;/Author&gt;&lt;Year&gt;2019&lt;/Year&gt;&lt;RecNum&gt;11&lt;/RecNum&gt;&lt;DisplayText&gt;[6]&lt;/DisplayText&gt;&lt;record&gt;&lt;rec-number&gt;11&lt;/rec-number&gt;&lt;foreign-keys&gt;&lt;key app="EN" db-id="xavwzvaen5rp2fe9w2sxep0rvfwfesxa9z9r" timestamp="1756101764"&gt;11&lt;/key&gt;&lt;/foreign-keys&gt;&lt;ref-type name="Journal Article"&gt;17&lt;/ref-type&gt;&lt;contributors&gt;&lt;authors&gt;&lt;author&gt;Park, Ina U.&lt;/author&gt;&lt;author&gt;Fakile, Yetunde F.&lt;/author&gt;&lt;author&gt;Chow, Joan M.&lt;/author&gt;&lt;author&gt;Gustafson, Kathleen J.&lt;/author&gt;&lt;author&gt;Jost, Heather&lt;/author&gt;&lt;author&gt;Schapiro, Jeffrey M.&lt;/author&gt;&lt;author&gt;Novak-Weekley, Susan&lt;/author&gt;&lt;author&gt;Tran, Anthony&lt;/author&gt;&lt;author&gt;Nomura, Jim H.&lt;/author&gt;&lt;author&gt;Chen, Victor&lt;/author&gt;&lt;author&gt;Beheshti, Manie&lt;/author&gt;&lt;author&gt;Tsai, Townson&lt;/author&gt;&lt;author&gt;Hoover, Karen&lt;/author&gt;&lt;author&gt;Bolan, Gail&lt;/author&gt;&lt;/authors&gt;&lt;/contributors&gt;&lt;titles&gt;&lt;title&gt;Performance of Treponemal Tests for the Diagnosis of Syphilis&lt;/title&gt;&lt;secondary-title&gt;Clinical Infectious Diseases&lt;/secondary-title&gt;&lt;/titles&gt;&lt;periodical&gt;&lt;full-title&gt;Clinical Infectious Diseases&lt;/full-title&gt;&lt;abbr-1&gt;Clinical Infectious Diseases&lt;/abbr-1&gt;&lt;/periodical&gt;&lt;pages&gt;913-918&lt;/pages&gt;&lt;volume&gt;68&lt;/volume&gt;&lt;number&gt;6&lt;/number&gt;&lt;dates&gt;&lt;year&gt;2019&lt;/year&gt;&lt;pub-dates&gt;&lt;date&gt;2019/03/05/&lt;/date&gt;&lt;/pub-dates&gt;&lt;/dates&gt;&lt;isbn&gt;1058-4838, 1537-6591&lt;/isbn&gt;&lt;urls&gt;&lt;related-urls&gt;&lt;url&gt;https://academic.oup.com/cid/article/68/6/913/5050740&lt;/url&gt;&lt;/related-urls&gt;&lt;/urls&gt;&lt;electronic-resource-num&gt;10.1093/cid/ciy558&lt;/electronic-resource-num&gt;&lt;remote-database-provider&gt;DOI.org (Crossref)&lt;/remote-database-provider&gt;&lt;language&gt;en&lt;/language&gt;&lt;access-date&gt;2024/07/08/06:51:16&lt;/access-date&gt;&lt;/record&gt;&lt;/Cite&gt;&lt;/EndNote&gt;</w:instrText>
            </w:r>
            <w:r w:rsidRPr="00C81E68">
              <w:fldChar w:fldCharType="separate"/>
            </w:r>
            <w:r w:rsidRPr="00C81E68">
              <w:rPr>
                <w:noProof/>
              </w:rPr>
              <w:t>[6]</w:t>
            </w:r>
            <w:r w:rsidRPr="00C81E68">
              <w:fldChar w:fldCharType="end"/>
            </w:r>
          </w:p>
        </w:tc>
      </w:tr>
      <w:tr w:rsidR="00603D47" w:rsidRPr="004E5621" w14:paraId="0B73EDEC" w14:textId="77777777" w:rsidTr="000F1A89">
        <w:tc>
          <w:tcPr>
            <w:tcW w:w="2132" w:type="pct"/>
          </w:tcPr>
          <w:p w14:paraId="2EC5ADFB" w14:textId="31ADCBFC" w:rsidR="00603D47" w:rsidRPr="00603D47" w:rsidRDefault="00603D47" w:rsidP="00603D47">
            <w:pPr>
              <w:spacing w:before="80" w:after="80"/>
            </w:pPr>
            <w:r w:rsidRPr="00603D47">
              <w:t>TP-specific test 2 specificity</w:t>
            </w:r>
          </w:p>
        </w:tc>
        <w:tc>
          <w:tcPr>
            <w:tcW w:w="1042" w:type="pct"/>
          </w:tcPr>
          <w:p w14:paraId="70B0387E" w14:textId="73775D22" w:rsidR="00603D47" w:rsidRPr="00603D47" w:rsidRDefault="00603D47" w:rsidP="00603D47">
            <w:pPr>
              <w:spacing w:before="80" w:after="80"/>
            </w:pPr>
            <w:r w:rsidRPr="00603D47">
              <w:t>100%</w:t>
            </w:r>
          </w:p>
        </w:tc>
        <w:tc>
          <w:tcPr>
            <w:tcW w:w="1826" w:type="pct"/>
          </w:tcPr>
          <w:p w14:paraId="33743076" w14:textId="4A404ADE" w:rsidR="00603D47" w:rsidRPr="00603D47" w:rsidRDefault="00006BF0" w:rsidP="00603D47">
            <w:pPr>
              <w:spacing w:before="80" w:after="80"/>
            </w:pPr>
            <w:r w:rsidRPr="00006BF0">
              <w:fldChar w:fldCharType="begin"/>
            </w:r>
            <w:r w:rsidRPr="00006BF0">
              <w:instrText xml:space="preserve"> ADDIN EN.CITE &lt;EndNote&gt;&lt;Cite&gt;&lt;Author&gt;Park&lt;/Author&gt;&lt;Year&gt;2019&lt;/Year&gt;&lt;RecNum&gt;11&lt;/RecNum&gt;&lt;DisplayText&gt;[6]&lt;/DisplayText&gt;&lt;record&gt;&lt;rec-number&gt;11&lt;/rec-number&gt;&lt;foreign-keys&gt;&lt;key app="EN" db-id="xavwzvaen5rp2fe9w2sxep0rvfwfesxa9z9r" timestamp="1756101764"&gt;11&lt;/key&gt;&lt;/foreign-keys&gt;&lt;ref-type name="Journal Article"&gt;17&lt;/ref-type&gt;&lt;contributors&gt;&lt;authors&gt;&lt;author&gt;Park, Ina U.&lt;/author&gt;&lt;author&gt;Fakile, Yetunde F.&lt;/author&gt;&lt;author&gt;Chow, Joan M.&lt;/author&gt;&lt;author&gt;Gustafson, Kathleen J.&lt;/author&gt;&lt;author&gt;Jost, Heather&lt;/author&gt;&lt;author&gt;Schapiro, Jeffrey M.&lt;/author&gt;&lt;author&gt;Novak-Weekley, Susan&lt;/author&gt;&lt;author&gt;Tran, Anthony&lt;/author&gt;&lt;author&gt;Nomura, Jim H.&lt;/author&gt;&lt;author&gt;Chen, Victor&lt;/author&gt;&lt;author&gt;Beheshti, Manie&lt;/author&gt;&lt;author&gt;Tsai, Townson&lt;/author&gt;&lt;author&gt;Hoover, Karen&lt;/author&gt;&lt;author&gt;Bolan, Gail&lt;/author&gt;&lt;/authors&gt;&lt;/contributors&gt;&lt;titles&gt;&lt;title&gt;Performance of Treponemal Tests for the Diagnosis of Syphilis&lt;/title&gt;&lt;secondary-title&gt;Clinical Infectious Diseases&lt;/secondary-title&gt;&lt;/titles&gt;&lt;periodical&gt;&lt;full-title&gt;Clinical Infectious Diseases&lt;/full-title&gt;&lt;abbr-1&gt;Clinical Infectious Diseases&lt;/abbr-1&gt;&lt;/periodical&gt;&lt;pages&gt;913-918&lt;/pages&gt;&lt;volume&gt;68&lt;/volume&gt;&lt;number&gt;6&lt;/number&gt;&lt;dates&gt;&lt;year&gt;2019&lt;/year&gt;&lt;pub-dates&gt;&lt;date&gt;2019/03/05/&lt;/date&gt;&lt;/pub-dates&gt;&lt;/dates&gt;&lt;isbn&gt;1058-4838, 1537-6591&lt;/isbn&gt;&lt;urls&gt;&lt;related-urls&gt;&lt;url&gt;https://academic.oup.com/cid/article/68/6/913/5050740&lt;/url&gt;&lt;/related-urls&gt;&lt;/urls&gt;&lt;electronic-resource-num&gt;10.1093/cid/ciy558&lt;/electronic-resource-num&gt;&lt;remote-database-provider&gt;DOI.org (Crossref)&lt;/remote-database-provider&gt;&lt;language&gt;en&lt;/language&gt;&lt;access-date&gt;2024/07/08/06:51:16&lt;/access-date&gt;&lt;/record&gt;&lt;/Cite&gt;&lt;/EndNote&gt;</w:instrText>
            </w:r>
            <w:r w:rsidRPr="00006BF0">
              <w:fldChar w:fldCharType="separate"/>
            </w:r>
            <w:r w:rsidRPr="00006BF0">
              <w:rPr>
                <w:noProof/>
              </w:rPr>
              <w:t>[6]</w:t>
            </w:r>
            <w:r w:rsidRPr="00006BF0">
              <w:fldChar w:fldCharType="end"/>
            </w:r>
            <w:r w:rsidR="00603D47" w:rsidRPr="006A3719">
              <w:rPr>
                <w:highlight w:val="yellow"/>
              </w:rPr>
              <w:fldChar w:fldCharType="begin"/>
            </w:r>
            <w:r w:rsidR="00603D47" w:rsidRPr="006A3719">
              <w:rPr>
                <w:highlight w:val="yellow"/>
              </w:rPr>
              <w:instrText xml:space="preserve"> ADDIN ZOTERO_ITEM CSL_CITATION {"citationID":"WAOrZkAZ","properties":{"formattedCitation":"(7,32,34\\uc0\\u8211{}36)","plainCitation":"(7,32,34–36)","noteIndex":0},"citationItems":[{"id":27,"uris":["http://zotero.org/users/local/kcsUIZlv/items/TCXLX64W"],"itemData":{"id":27,"type":"document","language":"en","publisher":"Australian Government Department of Health and Aged Care","source":"Zotero","title":"Syphilis – CDNA National Guidelines for Public Health Units","URL":"https://www.health.gov.au/sites/default/files/2023-11/syphilis-cdna-national-guidelines-for-public-health-units.pdf","contributor":[{"literal":"Communicable Diseases Network Australia"},{"literal":"Australian Health Protection Principal Committee"}],"issued":{"date-parts":[["2018",8,3]]}}},{"id":13,"uris":["http://zotero.org/users/local/kcsUIZlv/items/QYPI4T79"],"itemData":{"id":13,"type":"article-journal","title":"Screening for Syphilis in Nonpregnant Adolescents and Adults: Systematic Review to Update the 2004 U.S. Preventive Services Task Force Recommendation","author":[{"family":"Cantor","given":""}]}},{"id":20,"uris":["http://zotero.org/users/local/kcsUIZlv/items/EYYBKWYT"],"itemData":{"id":20,"type":"article-journal","abstract":"Background.  Treponemal immunoassays are increasingly used for syphilis screening with the reverse sequence algorithm. There are few data describing performance of treponemal immunoassays compared to traditional treponemal tests in patients with and without syphilis.\nMethods.  We calculated sensitivity and specificity of 7 treponemal assays: (1) ADVIA Centaur (chemiluminescence immunoassay [CIA]); (2) Bioplex 2200 (microbead immunoassay); (3) fluorescent treponemal antibody absorption test (FTA-ABS); (4) INNO-LIA (line immunoassay); (5) LIAISON CIA; (6) Treponema pallidum particle agglutination assay (TPPA); and (7) Trep-Sure (enzyme immunoassay [EIA]), using a reference standard combining clinical diagnosis and serology results. Sera were collected between May 2012–January 2013. Cases were characterized as: (1) current clinical diagnosis of syphilis: primary, secondary, early latent, late latent; (2) prior treated syphilis only; (3) no evidence of current syphilis, no prior history of syphilis, and at least 4 of 7 treponemal tests negative.\nResults.  Among 959 participants, 262 had current syphilis, 294 had prior syphilis, and 403 did not have syphilis. FTA-ABS was less sensitive for primary syphilis (78.2%) than the immunoassays or TPPA (94.5%–96.4%) (all P ≤ .01). All immunoassays were 100% sensitive for secondary syphilis, 95.2%–100% sensitive for early latent disease, and 86.8%–98.5% sensitive in late latent disease. TPPA had 100% specificity.\nConclusions.  Treponemal immunoassays demonstrated excellent sensitivity for secondary, early latent, and seropositive primary syphilis. Sensitivity of FTA-ABS in primary syphilis was poor. Given its high specificity and superior sensitivity, TPPA is preferred to adjudicate discordant results with the reverse sequence algorithm over the FTA-ABS.","container-title":"Clinical Infectious Diseases","DOI":"10.1093/cid/ciy558","ISSN":"1058-4838, 1537-6591","issue":"6","language":"en","page":"913-918","source":"DOI.org (Crossref)","title":"Performance of Treponemal Tests for the Diagnosis of Syphilis","volume":"68","author":[{"family":"Park","given":"Ina U"},{"family":"Fakile","given":"Yetunde F"},{"family":"Chow","given":"Joan M"},{"family":"Gustafson","given":"Kathleen J"},{"family":"Jost","given":"Heather"},{"family":"Schapiro","given":"Jeffrey M"},{"family":"Novak-Weekley","given":"Susan"},{"family":"Tran","given":"Anthony"},{"family":"Nomura","given":"Jim H"},{"family":"Chen","given":"Victor"},{"family":"Beheshti","given":"Manie"},{"family":"Tsai","given":"Townson"},{"family":"Hoover","given":"Karen"},{"family":"Bolan","given":"Gail"}],"issued":{"date-parts":[["2019",3,5]]}}},{"id":22,"uris":["http://zotero.org/users/local/kcsUIZlv/items/RDNMI7QG"],"itemData":{"id":22,"type":"article-journal","abstract":"Abstract\n            We conducted a systematic review of relevant syphilis diagnostic literature to address the question, “What is the sensitivity and specificity of the treponemal tests currently approved by the Food and Drug Administration (FDA) for the diagnosis of syphilis (by stage)?” There were 16 treponemal assays evaluated: 13 immunoassays and 3 manual assays (fluorescent treponemal antibody absorbed test [FTA-ABS], microhemagglutination assay for Treponema pallidum antibodies [MHA-TP], Treponema pallidum particle agglutination assay [TP-PA]). MHA-TP and FTA-ABS were less sensitive in primary and secondary syphilis than TP-PA; TP-PA is the most specific manual treponemal assay. There is insufficient evidence to recommend one particular treponemal immunoassay (eg, enzyme immunoassays, chemiluminescence immunoassays, microbead immunoassays) over another based on published performance data. For diagnosis of neurosyphilis, cerebrospinal fluid (CSF) TP-PA has similar performance to CSF FTA-ABS in studies with patients with definitive or presumptive neurosyphilis. However, CSF treponemal testing has limitations in its sensitivity and specificity and should be interpreted within the context of the clinical scenario, additional CSF test results and syphilis prevalence.","container-title":"Clinical Infectious Diseases","DOI":"10.1093/cid/ciaa349","ISSN":"1058-4838, 1537-6591","issue":"Supplement_1","language":"en","license":"http://creativecommons.org/licenses/by/4.0/","page":"S13-S20","source":"DOI.org (Crossref)","title":"Sensitivity and Specificity of Treponemal-specific Tests for the Diagnosis of Syphilis","volume":"71","author":[{"family":"Park","given":"Ina U"},{"family":"Tran","given":"Anthony"},{"family":"Pereira","given":"Lara"},{"family":"Fakile","given":"Yetunde"}],"issued":{"date-parts":[["2020",6,24]]}}},{"id":23,"uris":["http://zotero.org/users/local/kcsUIZlv/items/9V3EA54K"],"itemData":{"id":23,"type":"article-journal","container-title":"Journal of Clinical Microbiology","issue":"10","language":"en","note":"DOI: 10.1128/jcm.00100-21","page":"e00100-21","title":"The Laboratory Diagnosis of Syphilis","volume":"59","author":[{"family":"Satyaputra","given":"Ferris"},{"family":"Hendry","given":"Stephanie"},{"family":"Braddick","given":"Maxwell"},{"family":"Sivabalan","given":"Pirathaban"},{"family":"Norton","given":"Robert"}],"issued":{"date-parts":[["2021",10]]}}}],"schema":"https://github.com/citation-style-language/schema/raw/master/csl-citation.json"} </w:instrText>
            </w:r>
            <w:r w:rsidR="00603D47" w:rsidRPr="006A3719">
              <w:rPr>
                <w:highlight w:val="yellow"/>
              </w:rPr>
              <w:fldChar w:fldCharType="separate"/>
            </w:r>
            <w:r w:rsidR="00603D47" w:rsidRPr="006A3719">
              <w:rPr>
                <w:highlight w:val="yellow"/>
              </w:rPr>
              <w:fldChar w:fldCharType="end"/>
            </w:r>
          </w:p>
        </w:tc>
      </w:tr>
      <w:tr w:rsidR="00603D47" w:rsidRPr="004E5621" w14:paraId="68453F1B" w14:textId="77777777" w:rsidTr="000F1A89">
        <w:tc>
          <w:tcPr>
            <w:tcW w:w="2132" w:type="pct"/>
          </w:tcPr>
          <w:p w14:paraId="4155142E" w14:textId="495E5083" w:rsidR="00603D47" w:rsidRPr="00603D47" w:rsidRDefault="00603D47" w:rsidP="00603D47">
            <w:pPr>
              <w:spacing w:before="80" w:after="80"/>
            </w:pPr>
            <w:r w:rsidRPr="00603D47">
              <w:t>RPR sensitivity (primary, secondary, early latent, late latent, tertiary)</w:t>
            </w:r>
          </w:p>
        </w:tc>
        <w:tc>
          <w:tcPr>
            <w:tcW w:w="1042" w:type="pct"/>
          </w:tcPr>
          <w:p w14:paraId="77F3FE20" w14:textId="42438390" w:rsidR="00603D47" w:rsidRPr="00603D47" w:rsidRDefault="00603D47" w:rsidP="00603D47">
            <w:pPr>
              <w:spacing w:before="80" w:after="80"/>
            </w:pPr>
            <w:r w:rsidRPr="00603D47">
              <w:t>86%,100%, 98%, 98%, 73%</w:t>
            </w:r>
          </w:p>
        </w:tc>
        <w:tc>
          <w:tcPr>
            <w:tcW w:w="1826" w:type="pct"/>
          </w:tcPr>
          <w:p w14:paraId="66691486" w14:textId="464CEF58" w:rsidR="00603D47" w:rsidRPr="00603D47" w:rsidRDefault="00403CAB" w:rsidP="00603D47">
            <w:pPr>
              <w:spacing w:before="80" w:after="80"/>
            </w:pPr>
            <w:r w:rsidRPr="00403CAB">
              <w:fldChar w:fldCharType="begin"/>
            </w:r>
            <w:r w:rsidRPr="00403CAB">
              <w:instrText xml:space="preserve"> ADDIN EN.CITE &lt;EndNote&gt;&lt;Cite&gt;&lt;Year&gt;2018&lt;/Year&gt;&lt;RecNum&gt;14&lt;/RecNum&gt;&lt;DisplayText&gt;[5, 8]&lt;/DisplayText&gt;&lt;record&gt;&lt;rec-number&gt;14&lt;/rec-number&gt;&lt;foreign-keys&gt;&lt;key app="EN" db-id="xavwzvaen5rp2fe9w2sxep0rvfwfesxa9z9r" timestamp="1756101764"&gt;14&lt;/key&gt;&lt;/foreign-keys&gt;&lt;ref-type name="Generic"&gt;13&lt;/ref-type&gt;&lt;contributors&gt;&lt;/contributors&gt;&lt;titles&gt;&lt;title&gt;Syphilis – CDNA National Guidelines for Public Health Units&lt;/title&gt;&lt;/titles&gt;&lt;dates&gt;&lt;year&gt;2018&lt;/year&gt;&lt;pub-dates&gt;&lt;date&gt;2018/08/03/&lt;/date&gt;&lt;/pub-dates&gt;&lt;/dates&gt;&lt;publisher&gt;Australian Government Department of Health and Aged Care&lt;/publisher&gt;&lt;urls&gt;&lt;related-urls&gt;&lt;url&gt;https://www.health.gov.au/sites/default/files/2023-11/syphilis-cdna-national-guidelines-for-public-health-units.pdf&lt;/url&gt;&lt;/related-urls&gt;&lt;/urls&gt;&lt;remote-database-provider&gt;Zotero&lt;/remote-database-provider&gt;&lt;language&gt;en&lt;/language&gt;&lt;/record&gt;&lt;/Cite&gt;&lt;Cite&gt;&lt;Author&gt;Larsen&lt;/Author&gt;&lt;Year&gt;1995&lt;/Year&gt;&lt;RecNum&gt;105&lt;/RecNum&gt;&lt;record&gt;&lt;rec-number&gt;105&lt;/rec-number&gt;&lt;foreign-keys&gt;&lt;key app="EN" db-id="xavwzvaen5rp2fe9w2sxep0rvfwfesxa9z9r" timestamp="1756101764"&gt;105&lt;/key&gt;&lt;/foreign-keys&gt;&lt;ref-type name="Journal Article"&gt;17&lt;/ref-type&gt;&lt;contributors&gt;&lt;authors&gt;&lt;author&gt;Larsen, S. A.&lt;/author&gt;&lt;author&gt;Steiner, B. M.&lt;/author&gt;&lt;author&gt;Rudolph, A. H.&lt;/author&gt;&lt;/authors&gt;&lt;/contributors&gt;&lt;titles&gt;&lt;title&gt;Laboratory diagnosis and interpretation of tests for syphilis&lt;/title&gt;&lt;secondary-title&gt;Clinical Microbiology Reviews&lt;/secondary-title&gt;&lt;/titles&gt;&lt;periodical&gt;&lt;full-title&gt;Clinical Microbiology Reviews&lt;/full-title&gt;&lt;/periodical&gt;&lt;pages&gt;1-21&lt;/pages&gt;&lt;volume&gt;8&lt;/volume&gt;&lt;number&gt;1&lt;/number&gt;&lt;dates&gt;&lt;year&gt;1995&lt;/year&gt;&lt;pub-dates&gt;&lt;date&gt;1995/01//&lt;/date&gt;&lt;/pub-dates&gt;&lt;/dates&gt;&lt;urls&gt;&lt;related-urls&gt;&lt;url&gt;https://journals.asm.org/doi/10.1128/cmr.8.1.1&lt;/url&gt;&lt;/related-urls&gt;&lt;/urls&gt;&lt;electronic-resource-num&gt;10.1128/cmr.8.1.1&lt;/electronic-resource-num&gt;&lt;remote-database-provider&gt;journals.asm.org (Atypon)&lt;/remote-database-provider&gt;&lt;access-date&gt;2025/04/14/06:11:27&lt;/access-date&gt;&lt;/record&gt;&lt;/Cite&gt;&lt;/EndNote&gt;</w:instrText>
            </w:r>
            <w:r w:rsidRPr="00403CAB">
              <w:fldChar w:fldCharType="separate"/>
            </w:r>
            <w:r w:rsidRPr="00403CAB">
              <w:rPr>
                <w:noProof/>
              </w:rPr>
              <w:t>[5, 8]</w:t>
            </w:r>
            <w:r w:rsidRPr="00403CAB">
              <w:fldChar w:fldCharType="end"/>
            </w:r>
          </w:p>
        </w:tc>
      </w:tr>
      <w:tr w:rsidR="00603D47" w:rsidRPr="004E5621" w14:paraId="6C894F0F" w14:textId="77777777" w:rsidTr="000F1A89">
        <w:tc>
          <w:tcPr>
            <w:tcW w:w="2132" w:type="pct"/>
          </w:tcPr>
          <w:p w14:paraId="145B0122" w14:textId="2CFDCDB9" w:rsidR="00603D47" w:rsidRPr="00603D47" w:rsidRDefault="00603D47" w:rsidP="00603D47">
            <w:pPr>
              <w:spacing w:before="80" w:after="80"/>
            </w:pPr>
            <w:r w:rsidRPr="00603D47">
              <w:t>Averaged RPR sensitivity</w:t>
            </w:r>
          </w:p>
        </w:tc>
        <w:tc>
          <w:tcPr>
            <w:tcW w:w="1042" w:type="pct"/>
          </w:tcPr>
          <w:p w14:paraId="0247222A" w14:textId="6560D14D" w:rsidR="00603D47" w:rsidRPr="00603D47" w:rsidRDefault="00A86793" w:rsidP="00603D47">
            <w:pPr>
              <w:spacing w:before="80" w:after="80"/>
            </w:pPr>
            <w:r>
              <w:t>96.6</w:t>
            </w:r>
            <w:r w:rsidR="00603D47" w:rsidRPr="00603D47">
              <w:t>%</w:t>
            </w:r>
          </w:p>
        </w:tc>
        <w:tc>
          <w:tcPr>
            <w:tcW w:w="1826" w:type="pct"/>
          </w:tcPr>
          <w:p w14:paraId="7DF64A32" w14:textId="235A0FC3" w:rsidR="00603D47" w:rsidRPr="00603D47" w:rsidRDefault="00603D47" w:rsidP="00603D47">
            <w:pPr>
              <w:spacing w:before="80" w:after="80"/>
            </w:pPr>
            <w:r w:rsidRPr="00603D47">
              <w:t>Weighted average of test sensitivities</w:t>
            </w:r>
          </w:p>
        </w:tc>
      </w:tr>
      <w:tr w:rsidR="00603D47" w:rsidRPr="004E5621" w14:paraId="56789726" w14:textId="77777777" w:rsidTr="000F1A89">
        <w:tc>
          <w:tcPr>
            <w:tcW w:w="2132" w:type="pct"/>
          </w:tcPr>
          <w:p w14:paraId="6E4FC44C" w14:textId="225835C6" w:rsidR="00603D47" w:rsidRPr="00831F0E" w:rsidRDefault="00603D47" w:rsidP="00603D47">
            <w:pPr>
              <w:spacing w:before="80" w:after="80"/>
            </w:pPr>
            <w:r w:rsidRPr="00831F0E">
              <w:t>RPR specificity</w:t>
            </w:r>
          </w:p>
        </w:tc>
        <w:tc>
          <w:tcPr>
            <w:tcW w:w="1042" w:type="pct"/>
          </w:tcPr>
          <w:p w14:paraId="052A805D" w14:textId="2D13A281" w:rsidR="00603D47" w:rsidRPr="00831F0E" w:rsidRDefault="00603D47" w:rsidP="00603D47">
            <w:pPr>
              <w:spacing w:before="80" w:after="80"/>
            </w:pPr>
            <w:r w:rsidRPr="00831F0E">
              <w:t>98%</w:t>
            </w:r>
          </w:p>
        </w:tc>
        <w:tc>
          <w:tcPr>
            <w:tcW w:w="1826" w:type="pct"/>
          </w:tcPr>
          <w:p w14:paraId="4A8B20DD" w14:textId="64237E34" w:rsidR="00603D47" w:rsidRPr="00831F0E" w:rsidRDefault="004817A8" w:rsidP="00603D47">
            <w:pPr>
              <w:spacing w:before="80" w:after="80"/>
            </w:pPr>
            <w:r w:rsidRPr="004817A8">
              <w:fldChar w:fldCharType="begin">
                <w:fldData xml:space="preserve">PEVuZE5vdGU+PENpdGU+PFllYXI+MjAxODwvWWVhcj48UmVjTnVtPjE0PC9SZWNOdW0+PERpc3Bs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</w:fldData>
              </w:fldChar>
            </w:r>
            <w:r w:rsidRPr="004817A8">
              <w:instrText xml:space="preserve"> ADDIN EN.CITE </w:instrText>
            </w:r>
            <w:r w:rsidRPr="004817A8">
              <w:fldChar w:fldCharType="begin">
                <w:fldData xml:space="preserve">PEVuZE5vdGU+PENpdGU+PFllYXI+MjAxODwvWWVhcj48UmVjTnVtPjE0PC9SZWNOdW0+PERpc3Bs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</w:fldData>
              </w:fldChar>
            </w:r>
            <w:r w:rsidRPr="004817A8">
              <w:instrText xml:space="preserve"> ADDIN EN.CITE.DATA </w:instrText>
            </w:r>
            <w:r w:rsidRPr="004817A8">
              <w:fldChar w:fldCharType="end"/>
            </w:r>
            <w:r w:rsidRPr="004817A8">
              <w:fldChar w:fldCharType="separate"/>
            </w:r>
            <w:r w:rsidRPr="004817A8">
              <w:rPr>
                <w:noProof/>
              </w:rPr>
              <w:t>[7-9]</w:t>
            </w:r>
            <w:r w:rsidRPr="004817A8">
              <w:fldChar w:fldCharType="end"/>
            </w:r>
          </w:p>
        </w:tc>
      </w:tr>
    </w:tbl>
    <w:p w14:paraId="63F09D3D" w14:textId="77777777" w:rsidR="000F1A89" w:rsidRPr="000F1A89" w:rsidRDefault="000F1A89" w:rsidP="000F1A89">
      <w:pPr>
        <w:rPr>
          <w:lang w:eastAsia="en-US"/>
        </w:rPr>
      </w:pPr>
    </w:p>
    <w:p w14:paraId="78F93570" w14:textId="621100DC" w:rsidR="000F1A89" w:rsidRDefault="000F1A89" w:rsidP="000F1A89">
      <w:pPr>
        <w:pStyle w:val="Heading3"/>
      </w:pPr>
      <w:r>
        <w:t>Costs</w:t>
      </w:r>
    </w:p>
    <w:p w14:paraId="562DA07E" w14:textId="4B44A60A" w:rsidR="000F1A89" w:rsidRDefault="0010136C" w:rsidP="000F1A89">
      <w:pPr>
        <w:rPr>
          <w:lang w:eastAsia="en-US"/>
        </w:rPr>
      </w:pPr>
      <w:r>
        <w:rPr>
          <w:lang w:eastAsia="en-US"/>
        </w:rPr>
        <w:t>All c</w:t>
      </w:r>
      <w:r w:rsidR="00F215A4">
        <w:rPr>
          <w:lang w:eastAsia="en-US"/>
        </w:rPr>
        <w:t>osts are estimated from a taxpayer perspective</w:t>
      </w:r>
      <w:r w:rsidR="00C10EB6">
        <w:rPr>
          <w:lang w:eastAsia="en-US"/>
        </w:rPr>
        <w:t>, in 2024 AUD.</w:t>
      </w:r>
    </w:p>
    <w:p w14:paraId="73FC5ABA" w14:textId="5B7C5063" w:rsidR="00C86B39" w:rsidRDefault="00C86B39" w:rsidP="00C86B39">
      <w:pPr>
        <w:pStyle w:val="Heading3"/>
      </w:pPr>
      <w:r>
        <w:t>Table 4: Costs</w:t>
      </w:r>
    </w:p>
    <w:tbl>
      <w:tblPr>
        <w:tblStyle w:val="TableGrid"/>
        <w:tblW w:w="5000" w:type="pct"/>
        <w:tblLook w:val="0620" w:firstRow="1" w:lastRow="0" w:firstColumn="0" w:lastColumn="0" w:noHBand="1" w:noVBand="1"/>
      </w:tblPr>
      <w:tblGrid>
        <w:gridCol w:w="4106"/>
        <w:gridCol w:w="2006"/>
        <w:gridCol w:w="3516"/>
      </w:tblGrid>
      <w:tr w:rsidR="000F1A89" w:rsidRPr="002600DC" w14:paraId="48FB5961" w14:textId="77777777">
        <w:trPr>
          <w:tblHeader/>
        </w:trPr>
        <w:tc>
          <w:tcPr>
            <w:tcW w:w="2132" w:type="pct"/>
            <w:shd w:val="clear" w:color="auto" w:fill="F2F2F2" w:themeFill="background1" w:themeFillShade="F2"/>
          </w:tcPr>
          <w:p w14:paraId="3159061E" w14:textId="77777777" w:rsidR="000F1A89" w:rsidRPr="00E92170" w:rsidRDefault="000F1A89">
            <w:pPr>
              <w:spacing w:before="80" w:after="80"/>
              <w:rPr>
                <w:b/>
                <w:bCs/>
              </w:rPr>
            </w:pPr>
            <w:r>
              <w:rPr>
                <w:b/>
                <w:bCs/>
              </w:rPr>
              <w:t>Parameter</w:t>
            </w:r>
          </w:p>
        </w:tc>
        <w:tc>
          <w:tcPr>
            <w:tcW w:w="1042" w:type="pct"/>
            <w:shd w:val="clear" w:color="auto" w:fill="F2F2F2" w:themeFill="background1" w:themeFillShade="F2"/>
          </w:tcPr>
          <w:p w14:paraId="3F4C6A91" w14:textId="77777777" w:rsidR="000F1A89" w:rsidRPr="00E92170" w:rsidRDefault="000F1A89">
            <w:pPr>
              <w:spacing w:before="80" w:after="80"/>
              <w:rPr>
                <w:b/>
                <w:bCs/>
              </w:rPr>
            </w:pPr>
            <w:r>
              <w:rPr>
                <w:b/>
                <w:bCs/>
              </w:rPr>
              <w:t>Value</w:t>
            </w:r>
          </w:p>
        </w:tc>
        <w:tc>
          <w:tcPr>
            <w:tcW w:w="1826" w:type="pct"/>
            <w:shd w:val="clear" w:color="auto" w:fill="F2F2F2" w:themeFill="background1" w:themeFillShade="F2"/>
          </w:tcPr>
          <w:p w14:paraId="71A102F5" w14:textId="77777777" w:rsidR="000F1A89" w:rsidRPr="00E92170" w:rsidRDefault="000F1A89">
            <w:pPr>
              <w:spacing w:before="80" w:after="80"/>
              <w:rPr>
                <w:b/>
                <w:bCs/>
              </w:rPr>
            </w:pPr>
            <w:r>
              <w:rPr>
                <w:b/>
                <w:bCs/>
              </w:rPr>
              <w:t>Source</w:t>
            </w:r>
          </w:p>
        </w:tc>
      </w:tr>
      <w:tr w:rsidR="000F1A89" w:rsidRPr="004E5621" w14:paraId="60C8D6D4" w14:textId="77777777">
        <w:tc>
          <w:tcPr>
            <w:tcW w:w="2132" w:type="pct"/>
          </w:tcPr>
          <w:p w14:paraId="6DA0B920" w14:textId="4D37F130" w:rsidR="000F1A89" w:rsidRPr="00E92170" w:rsidRDefault="00865C3F">
            <w:pPr>
              <w:spacing w:before="80" w:after="80"/>
            </w:pPr>
            <w:r>
              <w:t>Self-test wholesale unit cost</w:t>
            </w:r>
          </w:p>
        </w:tc>
        <w:tc>
          <w:tcPr>
            <w:tcW w:w="1042" w:type="pct"/>
          </w:tcPr>
          <w:p w14:paraId="49EAE720" w14:textId="2A786F55" w:rsidR="000F1A89" w:rsidRPr="00E92170" w:rsidRDefault="00865C3F">
            <w:pPr>
              <w:spacing w:before="80" w:after="80"/>
            </w:pPr>
            <w:r>
              <w:t>$5</w:t>
            </w:r>
          </w:p>
        </w:tc>
        <w:tc>
          <w:tcPr>
            <w:tcW w:w="1826" w:type="pct"/>
          </w:tcPr>
          <w:p w14:paraId="53B1A30C" w14:textId="7E8CD915" w:rsidR="000F1A89" w:rsidRPr="00E92170" w:rsidRDefault="0064133A">
            <w:pPr>
              <w:spacing w:before="80" w:after="80"/>
            </w:pPr>
            <w:r>
              <w:t xml:space="preserve">WHO target price is </w:t>
            </w:r>
            <w:r w:rsidR="00E5035F">
              <w:t>US$3</w:t>
            </w:r>
            <w:r w:rsidR="00082C93">
              <w:t xml:space="preserve"> </w:t>
            </w:r>
            <w:r w:rsidR="00082C93">
              <w:fldChar w:fldCharType="begin"/>
            </w:r>
            <w:r w:rsidR="00082C93">
              <w:instrText xml:space="preserve"> ADDIN EN.CITE &lt;EndNote&gt;&lt;Cite&gt;&lt;Year&gt;2023&lt;/Year&gt;&lt;RecNum&gt;117&lt;/RecNum&gt;&lt;DisplayText&gt;[10]&lt;/DisplayText&gt;&lt;record&gt;&lt;rec-number&gt;117&lt;/rec-number&gt;&lt;foreign-keys&gt;&lt;key app="EN" db-id="xavwzvaen5rp2fe9w2sxep0rvfwfesxa9z9r" timestamp="1756177427"&gt;117&lt;/key&gt;&lt;/foreign-keys&gt;&lt;ref-type name="Report"&gt;27&lt;/ref-type&gt;&lt;contributors&gt;&lt;/contributors&gt;&lt;titles&gt;&lt;title&gt;Point-of-care tests for sexually transmitted infections: Target product profiles&lt;/title&gt;&lt;/titles&gt;&lt;dates&gt;&lt;year&gt;2023&lt;/year&gt;&lt;/dates&gt;&lt;pub-location&gt;Geneva&lt;/pub-location&gt;&lt;publisher&gt;World Health Organisation&lt;/publisher&gt;&lt;urls&gt;&lt;related-urls&gt;&lt;url&gt;https://www.who.int/publications/i/item/9789240077102&lt;/url&gt;&lt;/related-urls&gt;&lt;/urls&gt;&lt;/record&gt;&lt;/Cite&gt;&lt;/EndNote&gt;</w:instrText>
            </w:r>
            <w:r w:rsidR="00082C93">
              <w:fldChar w:fldCharType="separate"/>
            </w:r>
            <w:r w:rsidR="00082C93">
              <w:rPr>
                <w:noProof/>
              </w:rPr>
              <w:t>[10]</w:t>
            </w:r>
            <w:r w:rsidR="00082C93">
              <w:fldChar w:fldCharType="end"/>
            </w:r>
          </w:p>
        </w:tc>
      </w:tr>
      <w:tr w:rsidR="000F1A89" w:rsidRPr="004E5621" w14:paraId="49C8E7F8" w14:textId="77777777">
        <w:tc>
          <w:tcPr>
            <w:tcW w:w="2132" w:type="pct"/>
          </w:tcPr>
          <w:p w14:paraId="13E66A32" w14:textId="1B0532AD" w:rsidR="000F1A89" w:rsidRPr="00E92170" w:rsidRDefault="00183723">
            <w:pPr>
              <w:spacing w:before="80" w:after="80"/>
            </w:pPr>
            <w:r>
              <w:t xml:space="preserve">Single serology syphilis test </w:t>
            </w:r>
          </w:p>
        </w:tc>
        <w:tc>
          <w:tcPr>
            <w:tcW w:w="1042" w:type="pct"/>
          </w:tcPr>
          <w:p w14:paraId="0984B837" w14:textId="4C68CE0D" w:rsidR="000F1A89" w:rsidRPr="00E92170" w:rsidRDefault="00514023">
            <w:pPr>
              <w:spacing w:before="80" w:after="80"/>
            </w:pPr>
            <w:r>
              <w:t>$15.7</w:t>
            </w:r>
          </w:p>
        </w:tc>
        <w:tc>
          <w:tcPr>
            <w:tcW w:w="1826" w:type="pct"/>
          </w:tcPr>
          <w:p w14:paraId="439BC45C" w14:textId="67C4F740" w:rsidR="000F1A89" w:rsidRPr="00E92170" w:rsidRDefault="00C10EB6">
            <w:pPr>
              <w:spacing w:before="80" w:after="80"/>
            </w:pPr>
            <w:r>
              <w:t>Medicare Benefits Schedule</w:t>
            </w:r>
            <w:r w:rsidR="00AE4FB3">
              <w:t xml:space="preserve"> </w:t>
            </w:r>
            <w:r w:rsidR="00AE4FB3">
              <w:fldChar w:fldCharType="begin"/>
            </w:r>
            <w:r w:rsidR="00765DB2">
              <w:instrText xml:space="preserve"> ADDIN EN.CITE &lt;EndNote&gt;&lt;Cite&gt;&lt;RecNum&gt;118&lt;/RecNum&gt;&lt;DisplayText&gt;[11]&lt;/DisplayText&gt;&lt;record&gt;&lt;rec-number&gt;118&lt;/rec-number&gt;&lt;foreign-keys&gt;&lt;key app="EN" db-id="xavwzvaen5rp2fe9w2sxep0rvfwfesxa9z9r" timestamp="1756180754"&gt;118&lt;/key&gt;&lt;/foreign-keys&gt;&lt;ref-type name="Web Page"&gt;12&lt;/ref-type&gt;&lt;contributors&gt;&lt;/contributors&gt;&lt;titles&gt;&lt;title&gt;MBS Online&lt;/title&gt;&lt;/titles&gt;&lt;volume&gt;2025&lt;/volume&gt;&lt;number&gt;12 August &lt;/number&gt;&lt;dates&gt;&lt;/dates&gt;&lt;publisher&gt;Australian Government Department of Health, Disability and Ageing,&lt;/publisher&gt;&lt;urls&gt;&lt;related-urls&gt;&lt;url&gt;https://www.mbsonline.gov.au/&lt;/url&gt;&lt;/related-urls&gt;&lt;/urls&gt;&lt;/record&gt;&lt;/Cite&gt;&lt;/EndNote&gt;</w:instrText>
            </w:r>
            <w:r w:rsidR="00AE4FB3">
              <w:fldChar w:fldCharType="separate"/>
            </w:r>
            <w:r w:rsidR="00AE4FB3">
              <w:rPr>
                <w:noProof/>
              </w:rPr>
              <w:t>[11]</w:t>
            </w:r>
            <w:r w:rsidR="00AE4FB3">
              <w:fldChar w:fldCharType="end"/>
            </w:r>
          </w:p>
        </w:tc>
      </w:tr>
      <w:tr w:rsidR="000F1A89" w:rsidRPr="004E5621" w14:paraId="43E39CAF" w14:textId="77777777">
        <w:tc>
          <w:tcPr>
            <w:tcW w:w="2132" w:type="pct"/>
          </w:tcPr>
          <w:p w14:paraId="3B77FA2C" w14:textId="3926A7EE" w:rsidR="000F1A89" w:rsidRPr="00E92170" w:rsidRDefault="00183723">
            <w:pPr>
              <w:spacing w:before="80" w:after="80"/>
            </w:pPr>
            <w:r>
              <w:t xml:space="preserve">Double serology syphilis test </w:t>
            </w:r>
          </w:p>
        </w:tc>
        <w:tc>
          <w:tcPr>
            <w:tcW w:w="1042" w:type="pct"/>
          </w:tcPr>
          <w:p w14:paraId="04C5451A" w14:textId="1A68CA1F" w:rsidR="000F1A89" w:rsidRPr="00E92170" w:rsidRDefault="004835E8">
            <w:pPr>
              <w:spacing w:before="80" w:after="80"/>
            </w:pPr>
            <w:r>
              <w:t>$29.0</w:t>
            </w:r>
          </w:p>
        </w:tc>
        <w:tc>
          <w:tcPr>
            <w:tcW w:w="1826" w:type="pct"/>
          </w:tcPr>
          <w:p w14:paraId="1EF8A521" w14:textId="19483599" w:rsidR="000F1A89" w:rsidRPr="00E92170" w:rsidRDefault="00C10EB6">
            <w:pPr>
              <w:spacing w:before="80" w:after="80"/>
            </w:pPr>
            <w:r>
              <w:t>Medicare Benefits Schedule</w:t>
            </w:r>
            <w:r w:rsidR="00AE4FB3">
              <w:t xml:space="preserve"> </w:t>
            </w:r>
            <w:r w:rsidR="00AE4FB3">
              <w:fldChar w:fldCharType="begin"/>
            </w:r>
            <w:r w:rsidR="00765DB2">
              <w:instrText xml:space="preserve"> ADDIN EN.CITE &lt;EndNote&gt;&lt;Cite&gt;&lt;RecNum&gt;118&lt;/RecNum&gt;&lt;DisplayText&gt;[11]&lt;/DisplayText&gt;&lt;record&gt;&lt;rec-number&gt;118&lt;/rec-number&gt;&lt;foreign-keys&gt;&lt;key app="EN" db-id="xavwzvaen5rp2fe9w2sxep0rvfwfesxa9z9r" timestamp="1756180754"&gt;118&lt;/key&gt;&lt;/foreign-keys&gt;&lt;ref-type name="Web Page"&gt;12&lt;/ref-type&gt;&lt;contributors&gt;&lt;/contributors&gt;&lt;titles&gt;&lt;title&gt;MBS Online&lt;/title&gt;&lt;/titles&gt;&lt;volume&gt;2025&lt;/volume&gt;&lt;number&gt;12 August &lt;/number&gt;&lt;dates&gt;&lt;/dates&gt;&lt;publisher&gt;Australian Government Department of Health, Disability and Ageing,&lt;/publisher&gt;&lt;urls&gt;&lt;related-urls&gt;&lt;url&gt;https://www.mbsonline.gov.au/&lt;/url&gt;&lt;/related-urls&gt;&lt;/urls&gt;&lt;/record&gt;&lt;/Cite&gt;&lt;/EndNote&gt;</w:instrText>
            </w:r>
            <w:r w:rsidR="00AE4FB3">
              <w:fldChar w:fldCharType="separate"/>
            </w:r>
            <w:r w:rsidR="00AE4FB3">
              <w:rPr>
                <w:noProof/>
              </w:rPr>
              <w:t>[11]</w:t>
            </w:r>
            <w:r w:rsidR="00AE4FB3">
              <w:fldChar w:fldCharType="end"/>
            </w:r>
          </w:p>
        </w:tc>
      </w:tr>
      <w:tr w:rsidR="00700DED" w:rsidRPr="004E5621" w14:paraId="4E266CAC" w14:textId="77777777">
        <w:tc>
          <w:tcPr>
            <w:tcW w:w="2132" w:type="pct"/>
          </w:tcPr>
          <w:p w14:paraId="46A218CB" w14:textId="56140C63" w:rsidR="00700DED" w:rsidRPr="00E92170" w:rsidRDefault="00700DED">
            <w:pPr>
              <w:spacing w:before="80" w:after="80"/>
            </w:pPr>
            <w:r>
              <w:t>Initial appointment cost</w:t>
            </w:r>
          </w:p>
        </w:tc>
        <w:tc>
          <w:tcPr>
            <w:tcW w:w="1042" w:type="pct"/>
          </w:tcPr>
          <w:p w14:paraId="539DF08C" w14:textId="181F362E" w:rsidR="00700DED" w:rsidRPr="00E92170" w:rsidRDefault="001E1591">
            <w:pPr>
              <w:spacing w:before="80" w:after="80"/>
            </w:pPr>
            <w:r>
              <w:t>$82.9</w:t>
            </w:r>
          </w:p>
        </w:tc>
        <w:tc>
          <w:tcPr>
            <w:tcW w:w="1826" w:type="pct"/>
          </w:tcPr>
          <w:p w14:paraId="6D220BAA" w14:textId="2903B75E" w:rsidR="00700DED" w:rsidRPr="00E92170" w:rsidRDefault="00CD2E0D">
            <w:pPr>
              <w:spacing w:before="80" w:after="80"/>
            </w:pPr>
            <w:r>
              <w:t>Medicare Benefits Schedule</w:t>
            </w:r>
            <w:r w:rsidR="00AE4FB3">
              <w:t xml:space="preserve"> </w:t>
            </w:r>
            <w:r w:rsidR="00AE4FB3">
              <w:fldChar w:fldCharType="begin"/>
            </w:r>
            <w:r w:rsidR="00765DB2">
              <w:instrText xml:space="preserve"> ADDIN EN.CITE &lt;EndNote&gt;&lt;Cite&gt;&lt;RecNum&gt;118&lt;/RecNum&gt;&lt;DisplayText&gt;[11]&lt;/DisplayText&gt;&lt;record&gt;&lt;rec-number&gt;118&lt;/rec-number&gt;&lt;foreign-keys&gt;&lt;key app="EN" db-id="xavwzvaen5rp2fe9w2sxep0rvfwfesxa9z9r" timestamp="1756180754"&gt;118&lt;/key&gt;&lt;/foreign-keys&gt;&lt;ref-type name="Web Page"&gt;12&lt;/ref-type&gt;&lt;contributors&gt;&lt;/contributors&gt;&lt;titles&gt;&lt;title&gt;MBS Online&lt;/title&gt;&lt;/titles&gt;&lt;volume&gt;2025&lt;/volume&gt;&lt;number&gt;12 August &lt;/number&gt;&lt;dates&gt;&lt;/dates&gt;&lt;publisher&gt;Australian Government Department of Health, Disability and Ageing,&lt;/publisher&gt;&lt;urls&gt;&lt;related-urls&gt;&lt;url&gt;https://www.mbsonline.gov.au/&lt;/url&gt;&lt;/related-urls&gt;&lt;/urls&gt;&lt;/record&gt;&lt;/Cite&gt;&lt;/EndNote&gt;</w:instrText>
            </w:r>
            <w:r w:rsidR="00AE4FB3">
              <w:fldChar w:fldCharType="separate"/>
            </w:r>
            <w:r w:rsidR="00AE4FB3">
              <w:rPr>
                <w:noProof/>
              </w:rPr>
              <w:t>[11]</w:t>
            </w:r>
            <w:r w:rsidR="00AE4FB3">
              <w:fldChar w:fldCharType="end"/>
            </w:r>
          </w:p>
        </w:tc>
      </w:tr>
      <w:tr w:rsidR="00700DED" w:rsidRPr="004E5621" w14:paraId="152D62AE" w14:textId="77777777">
        <w:tc>
          <w:tcPr>
            <w:tcW w:w="2132" w:type="pct"/>
          </w:tcPr>
          <w:p w14:paraId="566A6139" w14:textId="1A5715CE" w:rsidR="00700DED" w:rsidRPr="00E92170" w:rsidRDefault="001E1591">
            <w:pPr>
              <w:spacing w:before="80" w:after="80"/>
            </w:pPr>
            <w:r>
              <w:t>Follow-up appointment cost</w:t>
            </w:r>
          </w:p>
        </w:tc>
        <w:tc>
          <w:tcPr>
            <w:tcW w:w="1042" w:type="pct"/>
          </w:tcPr>
          <w:p w14:paraId="4A20AA8A" w14:textId="00A522B2" w:rsidR="00700DED" w:rsidRPr="00E92170" w:rsidRDefault="001E1591">
            <w:pPr>
              <w:spacing w:before="80" w:after="80"/>
            </w:pPr>
            <w:r>
              <w:t>$42.9</w:t>
            </w:r>
          </w:p>
        </w:tc>
        <w:tc>
          <w:tcPr>
            <w:tcW w:w="1826" w:type="pct"/>
          </w:tcPr>
          <w:p w14:paraId="623B3A03" w14:textId="0C7C7500" w:rsidR="00700DED" w:rsidRPr="00E92170" w:rsidRDefault="00CD2E0D">
            <w:pPr>
              <w:spacing w:before="80" w:after="80"/>
            </w:pPr>
            <w:r>
              <w:t>Medicate Benefits Schedule</w:t>
            </w:r>
            <w:r w:rsidR="00AE4FB3">
              <w:t xml:space="preserve"> </w:t>
            </w:r>
            <w:r w:rsidR="00AE4FB3">
              <w:fldChar w:fldCharType="begin"/>
            </w:r>
            <w:r w:rsidR="00765DB2">
              <w:instrText xml:space="preserve"> ADDIN EN.CITE &lt;EndNote&gt;&lt;Cite&gt;&lt;RecNum&gt;118&lt;/RecNum&gt;&lt;DisplayText&gt;[11]&lt;/DisplayText&gt;&lt;record&gt;&lt;rec-number&gt;118&lt;/rec-number&gt;&lt;foreign-keys&gt;&lt;key app="EN" db-id="xavwzvaen5rp2fe9w2sxep0rvfwfesxa9z9r" timestamp="1756180754"&gt;118&lt;/key&gt;&lt;/foreign-keys&gt;&lt;ref-type name="Web Page"&gt;12&lt;/ref-type&gt;&lt;contributors&gt;&lt;/contributors&gt;&lt;titles&gt;&lt;title&gt;MBS Online&lt;/title&gt;&lt;/titles&gt;&lt;volume&gt;2025&lt;/volume&gt;&lt;number&gt;12 August &lt;/number&gt;&lt;dates&gt;&lt;/dates&gt;&lt;publisher&gt;Australian Government Department of Health, Disability and Ageing,&lt;/publisher&gt;&lt;urls&gt;&lt;related-urls&gt;&lt;url&gt;https://www.mbsonline.gov.au/&lt;/url&gt;&lt;/related-urls&gt;&lt;/urls&gt;&lt;/record&gt;&lt;/Cite&gt;&lt;/EndNote&gt;</w:instrText>
            </w:r>
            <w:r w:rsidR="00AE4FB3">
              <w:fldChar w:fldCharType="separate"/>
            </w:r>
            <w:r w:rsidR="00AE4FB3">
              <w:rPr>
                <w:noProof/>
              </w:rPr>
              <w:t>[11]</w:t>
            </w:r>
            <w:r w:rsidR="00AE4FB3">
              <w:fldChar w:fldCharType="end"/>
            </w:r>
          </w:p>
        </w:tc>
      </w:tr>
    </w:tbl>
    <w:p w14:paraId="5BC861B3" w14:textId="77777777" w:rsidR="000F1A89" w:rsidRDefault="000F1A89" w:rsidP="000F1A89">
      <w:pPr>
        <w:rPr>
          <w:lang w:eastAsia="en-US"/>
        </w:rPr>
      </w:pPr>
    </w:p>
    <w:p w14:paraId="1E7BCF41" w14:textId="77777777" w:rsidR="00304F31" w:rsidRPr="00304F31" w:rsidRDefault="00304F31" w:rsidP="00304F31">
      <w:pPr>
        <w:rPr>
          <w:lang w:eastAsia="en-US"/>
        </w:rPr>
      </w:pPr>
    </w:p>
    <w:p w14:paraId="0038E03D" w14:textId="3D016F48" w:rsidR="000F1A89" w:rsidRPr="000F1A89" w:rsidRDefault="000F1A89" w:rsidP="000F1A89">
      <w:pPr>
        <w:pStyle w:val="Heading2"/>
      </w:pPr>
      <w:r>
        <w:lastRenderedPageBreak/>
        <w:t xml:space="preserve">Model outputs </w:t>
      </w:r>
    </w:p>
    <w:p w14:paraId="1C420925" w14:textId="77777777" w:rsidR="00EF16E6" w:rsidRDefault="00EF16E6" w:rsidP="00EF16E6">
      <w:pPr>
        <w:pStyle w:val="Heading3"/>
      </w:pPr>
    </w:p>
    <w:p w14:paraId="673D4167" w14:textId="0D7ACB90" w:rsidR="000F1A89" w:rsidRDefault="00EF16E6" w:rsidP="00EF16E6">
      <w:pPr>
        <w:pStyle w:val="Heading3"/>
      </w:pPr>
      <w:r>
        <w:t>Model outputs for baseline parameters</w:t>
      </w:r>
    </w:p>
    <w:p w14:paraId="07A08958" w14:textId="01AB9040" w:rsidR="005E7343" w:rsidRDefault="005E7343" w:rsidP="009C5547">
      <w:pPr>
        <w:rPr>
          <w:lang w:eastAsia="en-US"/>
        </w:rPr>
      </w:pPr>
      <w:r>
        <w:rPr>
          <w:lang w:eastAsia="en-US"/>
        </w:rPr>
        <w:t>T</w:t>
      </w:r>
      <w:r w:rsidR="00224E48">
        <w:rPr>
          <w:lang w:eastAsia="en-US"/>
        </w:rPr>
        <w:t>able 5</w:t>
      </w:r>
      <w:r>
        <w:rPr>
          <w:lang w:eastAsia="en-US"/>
        </w:rPr>
        <w:t xml:space="preserve"> </w:t>
      </w:r>
      <w:r w:rsidR="00850DDD">
        <w:rPr>
          <w:lang w:eastAsia="en-US"/>
        </w:rPr>
        <w:t>shows</w:t>
      </w:r>
      <w:r>
        <w:rPr>
          <w:lang w:eastAsia="en-US"/>
        </w:rPr>
        <w:t xml:space="preserve"> the model outputs for input parameters provided in</w:t>
      </w:r>
      <w:r w:rsidR="00224E48">
        <w:rPr>
          <w:lang w:eastAsia="en-US"/>
        </w:rPr>
        <w:t xml:space="preserve"> Tables 1-4 above</w:t>
      </w:r>
      <w:r>
        <w:rPr>
          <w:lang w:eastAsia="en-US"/>
        </w:rPr>
        <w:t>.</w:t>
      </w:r>
    </w:p>
    <w:p w14:paraId="36BC843B" w14:textId="399AEDC6" w:rsidR="009C5547" w:rsidRDefault="009C5547" w:rsidP="009C5547">
      <w:pPr>
        <w:rPr>
          <w:lang w:eastAsia="en-US"/>
        </w:rPr>
      </w:pPr>
      <w:r>
        <w:rPr>
          <w:lang w:eastAsia="en-US"/>
        </w:rPr>
        <w:t xml:space="preserve">True/false positive/negative metrics refer to </w:t>
      </w:r>
      <w:r w:rsidR="002E51B5">
        <w:rPr>
          <w:lang w:eastAsia="en-US"/>
        </w:rPr>
        <w:t xml:space="preserve">the results of the </w:t>
      </w:r>
      <w:r w:rsidR="006978BD" w:rsidRPr="003B287E">
        <w:rPr>
          <w:rFonts w:ascii="Aptos SemiBold" w:hAnsi="Aptos SemiBold"/>
          <w:lang w:eastAsia="en-US"/>
        </w:rPr>
        <w:t>final test taken</w:t>
      </w:r>
      <w:r w:rsidR="006978BD">
        <w:rPr>
          <w:lang w:eastAsia="en-US"/>
        </w:rPr>
        <w:t xml:space="preserve"> for each person, </w:t>
      </w:r>
      <w:r w:rsidR="00C06F15">
        <w:rPr>
          <w:lang w:eastAsia="en-US"/>
        </w:rPr>
        <w:t xml:space="preserve">whether a self-test not followed by clinic testing, or a </w:t>
      </w:r>
      <w:r w:rsidR="00E54518">
        <w:rPr>
          <w:lang w:eastAsia="en-US"/>
        </w:rPr>
        <w:t xml:space="preserve">diagnosis made by a healthcare practitioner </w:t>
      </w:r>
      <w:r w:rsidR="0033378C">
        <w:rPr>
          <w:lang w:eastAsia="en-US"/>
        </w:rPr>
        <w:t>informed by laboratory test results.</w:t>
      </w:r>
    </w:p>
    <w:p w14:paraId="5B0A5D14" w14:textId="05EBC73B" w:rsidR="00C86B39" w:rsidRPr="009C5547" w:rsidRDefault="00C86B39" w:rsidP="00C86B39">
      <w:pPr>
        <w:pStyle w:val="Heading3"/>
      </w:pPr>
      <w:r>
        <w:t>Table 5: Model outputs for baseline parameters</w:t>
      </w:r>
    </w:p>
    <w:tbl>
      <w:tblPr>
        <w:tblStyle w:val="TableGrid"/>
        <w:tblW w:w="5000" w:type="pct"/>
        <w:tblLook w:val="0620" w:firstRow="1" w:lastRow="0" w:firstColumn="0" w:lastColumn="0" w:noHBand="1" w:noVBand="1"/>
      </w:tblPr>
      <w:tblGrid>
        <w:gridCol w:w="4105"/>
        <w:gridCol w:w="2977"/>
        <w:gridCol w:w="2546"/>
      </w:tblGrid>
      <w:tr w:rsidR="004E6761" w:rsidRPr="00E92170" w14:paraId="09390F3F" w14:textId="1329CCB5" w:rsidTr="004E6761">
        <w:trPr>
          <w:tblHeader/>
        </w:trPr>
        <w:tc>
          <w:tcPr>
            <w:tcW w:w="2132" w:type="pct"/>
            <w:shd w:val="clear" w:color="auto" w:fill="F2F2F2" w:themeFill="background1" w:themeFillShade="F2"/>
          </w:tcPr>
          <w:p w14:paraId="3E01D220" w14:textId="2A57628D" w:rsidR="004E6761" w:rsidRPr="00E92170" w:rsidRDefault="004E6761">
            <w:pPr>
              <w:spacing w:before="80" w:after="80"/>
              <w:rPr>
                <w:b/>
                <w:bCs/>
              </w:rPr>
            </w:pPr>
            <w:r>
              <w:rPr>
                <w:b/>
                <w:bCs/>
              </w:rPr>
              <w:t>Metric</w:t>
            </w:r>
          </w:p>
        </w:tc>
        <w:tc>
          <w:tcPr>
            <w:tcW w:w="1546" w:type="pct"/>
            <w:shd w:val="clear" w:color="auto" w:fill="F2F2F2" w:themeFill="background1" w:themeFillShade="F2"/>
          </w:tcPr>
          <w:p w14:paraId="66E6E7F8" w14:textId="1BB52FF9" w:rsidR="004E6761" w:rsidRPr="00E92170" w:rsidRDefault="004E6761">
            <w:pPr>
              <w:spacing w:before="80" w:after="80"/>
              <w:rPr>
                <w:b/>
                <w:bCs/>
              </w:rPr>
            </w:pPr>
            <w:r>
              <w:rPr>
                <w:b/>
                <w:bCs/>
              </w:rPr>
              <w:t>Number/cost per 100 MSM (status quo)</w:t>
            </w:r>
          </w:p>
        </w:tc>
        <w:tc>
          <w:tcPr>
            <w:tcW w:w="1322" w:type="pct"/>
            <w:shd w:val="clear" w:color="auto" w:fill="F2F2F2" w:themeFill="background1" w:themeFillShade="F2"/>
          </w:tcPr>
          <w:p w14:paraId="435E06D6" w14:textId="041B5219" w:rsidR="004E6761" w:rsidRPr="00E92170" w:rsidRDefault="004E6761">
            <w:pPr>
              <w:spacing w:before="80" w:after="80"/>
              <w:rPr>
                <w:b/>
                <w:bCs/>
              </w:rPr>
            </w:pPr>
            <w:r>
              <w:rPr>
                <w:b/>
                <w:bCs/>
              </w:rPr>
              <w:t>Number/cost per 100 MSM (intervention)</w:t>
            </w:r>
          </w:p>
        </w:tc>
      </w:tr>
      <w:tr w:rsidR="004E6761" w:rsidRPr="00E92170" w14:paraId="03ABEB4C" w14:textId="161DDF5B" w:rsidTr="004E6761">
        <w:tc>
          <w:tcPr>
            <w:tcW w:w="2132" w:type="pct"/>
          </w:tcPr>
          <w:p w14:paraId="6D0A8CA5" w14:textId="03F0CDB4" w:rsidR="004E6761" w:rsidRPr="00E92170" w:rsidRDefault="004E6761" w:rsidP="00D80FB4">
            <w:pPr>
              <w:spacing w:before="80" w:after="80"/>
            </w:pPr>
            <w:r>
              <w:t>True positive result, clinic diagnosed and initiated on treatment</w:t>
            </w:r>
          </w:p>
        </w:tc>
        <w:tc>
          <w:tcPr>
            <w:tcW w:w="1546" w:type="pct"/>
          </w:tcPr>
          <w:p w14:paraId="48C28EF3" w14:textId="3FD0E6FA" w:rsidR="004E6761" w:rsidRPr="00E92170" w:rsidRDefault="004E6761" w:rsidP="00D80FB4">
            <w:pPr>
              <w:spacing w:before="80" w:after="80"/>
            </w:pPr>
            <w:r>
              <w:t>1.19</w:t>
            </w:r>
          </w:p>
        </w:tc>
        <w:tc>
          <w:tcPr>
            <w:tcW w:w="1322" w:type="pct"/>
          </w:tcPr>
          <w:p w14:paraId="6AF2E79A" w14:textId="65F84B1C" w:rsidR="004E6761" w:rsidRPr="00E92170" w:rsidRDefault="004E6761" w:rsidP="00D80FB4">
            <w:pPr>
              <w:spacing w:before="80" w:after="80"/>
            </w:pPr>
            <w:r>
              <w:t>1.36</w:t>
            </w:r>
          </w:p>
        </w:tc>
      </w:tr>
      <w:tr w:rsidR="004E6761" w:rsidRPr="00E92170" w14:paraId="05475617" w14:textId="4C9C34C5" w:rsidTr="004E6761">
        <w:tc>
          <w:tcPr>
            <w:tcW w:w="2132" w:type="pct"/>
          </w:tcPr>
          <w:p w14:paraId="756E68E5" w14:textId="33977DA4" w:rsidR="004E6761" w:rsidRPr="00E92170" w:rsidRDefault="004E6761" w:rsidP="00D80FB4">
            <w:pPr>
              <w:spacing w:before="80" w:after="80"/>
            </w:pPr>
            <w:r>
              <w:t>False positive result, clinic diagnosed and initiated on treatment</w:t>
            </w:r>
          </w:p>
        </w:tc>
        <w:tc>
          <w:tcPr>
            <w:tcW w:w="1546" w:type="pct"/>
          </w:tcPr>
          <w:p w14:paraId="27BB126D" w14:textId="420E4880" w:rsidR="004E6761" w:rsidRPr="00E92170" w:rsidRDefault="004E6761" w:rsidP="00D80FB4">
            <w:pPr>
              <w:spacing w:before="80" w:after="80"/>
            </w:pPr>
            <w:r>
              <w:t>0.33</w:t>
            </w:r>
          </w:p>
        </w:tc>
        <w:tc>
          <w:tcPr>
            <w:tcW w:w="1322" w:type="pct"/>
          </w:tcPr>
          <w:p w14:paraId="4EBEB58A" w14:textId="3DF8E890" w:rsidR="004E6761" w:rsidRPr="00E92170" w:rsidRDefault="004E6761" w:rsidP="00D80FB4">
            <w:pPr>
              <w:spacing w:before="80" w:after="80"/>
            </w:pPr>
            <w:r>
              <w:t>0.27</w:t>
            </w:r>
          </w:p>
        </w:tc>
      </w:tr>
      <w:tr w:rsidR="004E6761" w:rsidRPr="00E92170" w14:paraId="19764A8F" w14:textId="2A1B4414" w:rsidTr="004E6761">
        <w:tc>
          <w:tcPr>
            <w:tcW w:w="2132" w:type="pct"/>
          </w:tcPr>
          <w:p w14:paraId="1CBE5380" w14:textId="529D126F" w:rsidR="004E6761" w:rsidRPr="00E92170" w:rsidRDefault="004E6761" w:rsidP="00D80FB4">
            <w:pPr>
              <w:spacing w:before="80" w:after="80"/>
            </w:pPr>
            <w:r>
              <w:t>True negative, or false positive LTFU (self-test or clinic diagnosed)</w:t>
            </w:r>
          </w:p>
        </w:tc>
        <w:tc>
          <w:tcPr>
            <w:tcW w:w="1546" w:type="pct"/>
          </w:tcPr>
          <w:p w14:paraId="4C96103E" w14:textId="3A814F78" w:rsidR="004E6761" w:rsidRPr="00E92170" w:rsidRDefault="004E6761" w:rsidP="00D80FB4">
            <w:pPr>
              <w:spacing w:before="80" w:after="80"/>
            </w:pPr>
            <w:r>
              <w:t>66.15</w:t>
            </w:r>
          </w:p>
        </w:tc>
        <w:tc>
          <w:tcPr>
            <w:tcW w:w="1322" w:type="pct"/>
          </w:tcPr>
          <w:p w14:paraId="33FA03F3" w14:textId="422DD15E" w:rsidR="004E6761" w:rsidRPr="00E92170" w:rsidRDefault="004E6761" w:rsidP="00D80FB4">
            <w:pPr>
              <w:spacing w:before="80" w:after="80"/>
            </w:pPr>
            <w:r>
              <w:t>7</w:t>
            </w:r>
            <w:r w:rsidR="00714F2E">
              <w:t>8.00</w:t>
            </w:r>
          </w:p>
        </w:tc>
      </w:tr>
      <w:tr w:rsidR="004E6761" w:rsidRPr="00E92170" w14:paraId="438D66F7" w14:textId="7DD75000" w:rsidTr="004E6761">
        <w:tc>
          <w:tcPr>
            <w:tcW w:w="2132" w:type="pct"/>
          </w:tcPr>
          <w:p w14:paraId="2EFB0322" w14:textId="048ADEC2" w:rsidR="004E6761" w:rsidRDefault="004E6761" w:rsidP="00D80FB4">
            <w:pPr>
              <w:spacing w:before="80" w:after="80"/>
            </w:pPr>
            <w:r>
              <w:t>False negative (self-test or clinic)</w:t>
            </w:r>
          </w:p>
        </w:tc>
        <w:tc>
          <w:tcPr>
            <w:tcW w:w="1546" w:type="pct"/>
          </w:tcPr>
          <w:p w14:paraId="6EB40405" w14:textId="584E6AF7" w:rsidR="004E6761" w:rsidRDefault="004E6761" w:rsidP="00D80FB4">
            <w:pPr>
              <w:spacing w:before="80" w:after="80"/>
            </w:pPr>
            <w:r>
              <w:t>0.02</w:t>
            </w:r>
          </w:p>
        </w:tc>
        <w:tc>
          <w:tcPr>
            <w:tcW w:w="1322" w:type="pct"/>
          </w:tcPr>
          <w:p w14:paraId="0B0B1766" w14:textId="365C4D9F" w:rsidR="004E6761" w:rsidRDefault="004E6761" w:rsidP="00D80FB4">
            <w:pPr>
              <w:spacing w:before="80" w:after="80"/>
            </w:pPr>
            <w:r>
              <w:t>0.04</w:t>
            </w:r>
          </w:p>
        </w:tc>
      </w:tr>
      <w:tr w:rsidR="004E6761" w:rsidRPr="00E92170" w14:paraId="7E8127DF" w14:textId="6CDCCF2B" w:rsidTr="004E6761">
        <w:tc>
          <w:tcPr>
            <w:tcW w:w="2132" w:type="pct"/>
          </w:tcPr>
          <w:p w14:paraId="7BC6D9F1" w14:textId="044C5426" w:rsidR="004E6761" w:rsidRDefault="004C09E2" w:rsidP="00D80FB4">
            <w:pPr>
              <w:spacing w:before="80" w:after="80"/>
            </w:pPr>
            <w:r>
              <w:t>Current</w:t>
            </w:r>
            <w:r w:rsidR="004E6761">
              <w:t xml:space="preserve"> infection, LTFU/no engagement</w:t>
            </w:r>
          </w:p>
        </w:tc>
        <w:tc>
          <w:tcPr>
            <w:tcW w:w="1546" w:type="pct"/>
          </w:tcPr>
          <w:p w14:paraId="16A3DDB3" w14:textId="5299B842" w:rsidR="004E6761" w:rsidRDefault="004E6761" w:rsidP="00D80FB4">
            <w:pPr>
              <w:spacing w:before="80" w:after="80"/>
            </w:pPr>
            <w:r>
              <w:t>0.59</w:t>
            </w:r>
          </w:p>
        </w:tc>
        <w:tc>
          <w:tcPr>
            <w:tcW w:w="1322" w:type="pct"/>
          </w:tcPr>
          <w:p w14:paraId="277CEC47" w14:textId="5A92ABA1" w:rsidR="004E6761" w:rsidRDefault="004E6761" w:rsidP="00D80FB4">
            <w:pPr>
              <w:spacing w:before="80" w:after="80"/>
            </w:pPr>
            <w:r>
              <w:t>0.40</w:t>
            </w:r>
          </w:p>
        </w:tc>
      </w:tr>
      <w:tr w:rsidR="004E6761" w:rsidRPr="00E92170" w14:paraId="3D5C33A0" w14:textId="18BDF666" w:rsidTr="004E6761">
        <w:tc>
          <w:tcPr>
            <w:tcW w:w="2132" w:type="pct"/>
          </w:tcPr>
          <w:p w14:paraId="293611D4" w14:textId="6CEB7AAA" w:rsidR="004E6761" w:rsidRDefault="004E6761" w:rsidP="00D80FB4">
            <w:pPr>
              <w:spacing w:before="80" w:after="80"/>
            </w:pPr>
            <w:r>
              <w:t xml:space="preserve">No </w:t>
            </w:r>
            <w:r w:rsidR="004C09E2">
              <w:t>current</w:t>
            </w:r>
            <w:r>
              <w:t xml:space="preserve"> infection, no engagement</w:t>
            </w:r>
          </w:p>
        </w:tc>
        <w:tc>
          <w:tcPr>
            <w:tcW w:w="1546" w:type="pct"/>
          </w:tcPr>
          <w:p w14:paraId="1A56B561" w14:textId="6043AB03" w:rsidR="004E6761" w:rsidRDefault="004E6761" w:rsidP="00D80FB4">
            <w:pPr>
              <w:spacing w:before="80" w:after="80"/>
            </w:pPr>
            <w:r>
              <w:t>31.72</w:t>
            </w:r>
          </w:p>
        </w:tc>
        <w:tc>
          <w:tcPr>
            <w:tcW w:w="1322" w:type="pct"/>
          </w:tcPr>
          <w:p w14:paraId="0B790908" w14:textId="2D0E7545" w:rsidR="004E6761" w:rsidRDefault="004E6761" w:rsidP="00D80FB4">
            <w:pPr>
              <w:spacing w:before="80" w:after="80"/>
            </w:pPr>
            <w:r>
              <w:t>19.93</w:t>
            </w:r>
          </w:p>
        </w:tc>
      </w:tr>
      <w:tr w:rsidR="004E6761" w:rsidRPr="00E92170" w14:paraId="2CE23A94" w14:textId="5E09C389" w:rsidTr="004E6761">
        <w:tc>
          <w:tcPr>
            <w:tcW w:w="2132" w:type="pct"/>
          </w:tcPr>
          <w:p w14:paraId="779F47FC" w14:textId="23570EE3" w:rsidR="004E6761" w:rsidRDefault="004E6761" w:rsidP="00D80FB4">
            <w:pPr>
              <w:spacing w:before="80" w:after="80"/>
            </w:pPr>
            <w:r>
              <w:t>Testing costs</w:t>
            </w:r>
            <w:r w:rsidR="00A37934">
              <w:t xml:space="preserve"> to taxpayer</w:t>
            </w:r>
          </w:p>
        </w:tc>
        <w:tc>
          <w:tcPr>
            <w:tcW w:w="1546" w:type="pct"/>
          </w:tcPr>
          <w:p w14:paraId="34997AD2" w14:textId="3A37FED5" w:rsidR="004E6761" w:rsidRDefault="004E6761" w:rsidP="00D80FB4">
            <w:pPr>
              <w:spacing w:before="80" w:after="80"/>
            </w:pPr>
            <w:r>
              <w:t>$12,014.19</w:t>
            </w:r>
          </w:p>
        </w:tc>
        <w:tc>
          <w:tcPr>
            <w:tcW w:w="1322" w:type="pct"/>
          </w:tcPr>
          <w:p w14:paraId="7F098FE5" w14:textId="09C8384A" w:rsidR="004E6761" w:rsidRDefault="004E6761" w:rsidP="00D80FB4">
            <w:pPr>
              <w:spacing w:before="80" w:after="80"/>
            </w:pPr>
            <w:r>
              <w:t>$9,8</w:t>
            </w:r>
            <w:r w:rsidR="00AB1575">
              <w:t>24</w:t>
            </w:r>
            <w:r>
              <w:t>.</w:t>
            </w:r>
            <w:r w:rsidR="00AB1575">
              <w:t>11</w:t>
            </w:r>
          </w:p>
        </w:tc>
      </w:tr>
    </w:tbl>
    <w:p w14:paraId="7FF2DBF3" w14:textId="77777777" w:rsidR="00DB26EB" w:rsidRDefault="00DB26EB" w:rsidP="00DB26EB">
      <w:pPr>
        <w:rPr>
          <w:lang w:eastAsia="en-US"/>
        </w:rPr>
      </w:pPr>
    </w:p>
    <w:p w14:paraId="3F6AB689" w14:textId="66D972D7" w:rsidR="004B5498" w:rsidRDefault="0092015F" w:rsidP="006666C3">
      <w:pPr>
        <w:pStyle w:val="Heading3"/>
      </w:pPr>
      <w:r>
        <w:t>S</w:t>
      </w:r>
      <w:r w:rsidR="006666C3">
        <w:t>ensitivity analysis results</w:t>
      </w:r>
    </w:p>
    <w:p w14:paraId="72BAC00C" w14:textId="77777777" w:rsidR="00737A3F" w:rsidRDefault="00737A3F" w:rsidP="00760E46">
      <w:pPr>
        <w:pStyle w:val="Heading4"/>
      </w:pPr>
    </w:p>
    <w:p w14:paraId="3FD4377C" w14:textId="5678FDDF" w:rsidR="00737A3F" w:rsidRDefault="00760E46" w:rsidP="00737A3F">
      <w:pPr>
        <w:pStyle w:val="Heading4"/>
      </w:pPr>
      <w:r>
        <w:t xml:space="preserve">Health </w:t>
      </w:r>
      <w:r w:rsidR="008A6D16">
        <w:t>outcomes</w:t>
      </w:r>
      <w:r>
        <w:t xml:space="preserve"> analysis</w:t>
      </w:r>
    </w:p>
    <w:p w14:paraId="7BDF4F2E" w14:textId="5C4AE230" w:rsidR="00760E46" w:rsidRDefault="00136EA4" w:rsidP="006666C3">
      <w:pPr>
        <w:rPr>
          <w:lang w:eastAsia="en-US"/>
        </w:rPr>
      </w:pPr>
      <w:r>
        <w:rPr>
          <w:lang w:eastAsia="en-US"/>
        </w:rPr>
        <w:t xml:space="preserve">Additional current syphilis cases are identified under the intervention scenario compared to the status quo scenario </w:t>
      </w:r>
      <w:r w:rsidRPr="00FD1DBE">
        <w:rPr>
          <w:lang w:eastAsia="en-US"/>
        </w:rPr>
        <w:t>where the following formula holds:</w:t>
      </w:r>
    </w:p>
    <w:p w14:paraId="6B54668B" w14:textId="059001A5" w:rsidR="00136EA4" w:rsidRDefault="00000000" w:rsidP="006666C3">
      <w:pPr>
        <w:rPr>
          <w:lang w:eastAsia="en-US"/>
        </w:rPr>
      </w:pPr>
      <m:oMathPara>
        <m:oMath>
          <m:f>
            <m:fPr>
              <m:ctrlPr>
                <w:rPr>
                  <w:rFonts w:ascii="Cambria Math" w:hAnsi="Cambria Math"/>
                  <w:i/>
                  <w:iCs/>
                  <w:lang w:eastAsia="en-US"/>
                </w:rPr>
              </m:ctrlPr>
            </m:fPr>
            <m:num>
              <m:r>
                <w:rPr>
                  <w:rFonts w:ascii="Cambria Math" w:hAnsi="Cambria Math"/>
                  <w:lang w:eastAsia="en-US"/>
                </w:rPr>
                <m:t>β</m:t>
              </m:r>
              <m:r>
                <w:rPr>
                  <w:rFonts w:ascii="Cambria Math" w:hAnsi="Cambria Math"/>
                  <w:lang w:eastAsia="en-US"/>
                </w:rPr>
                <m:t> (1-</m:t>
              </m:r>
              <m:r>
                <w:rPr>
                  <w:rFonts w:ascii="Cambria Math" w:hAnsi="Cambria Math"/>
                  <w:lang w:eastAsia="en-US"/>
                </w:rPr>
                <m:t>α</m:t>
              </m:r>
              <m:r>
                <w:rPr>
                  <w:rFonts w:ascii="Cambria Math" w:hAnsi="Cambria Math"/>
                  <w:lang w:eastAsia="en-US"/>
                </w:rPr>
                <m:t>)</m:t>
              </m:r>
            </m:num>
            <m:den>
              <m:r>
                <w:rPr>
                  <w:rFonts w:ascii="Cambria Math" w:hAnsi="Cambria Math"/>
                  <w:lang w:eastAsia="en-US"/>
                </w:rPr>
                <m:t>(1-</m:t>
              </m:r>
              <m:r>
                <w:rPr>
                  <w:rFonts w:ascii="Cambria Math" w:hAnsi="Cambria Math"/>
                  <w:lang w:eastAsia="en-US"/>
                </w:rPr>
                <m:t>β</m:t>
              </m:r>
              <m:r>
                <w:rPr>
                  <w:rFonts w:ascii="Cambria Math" w:hAnsi="Cambria Math"/>
                  <w:lang w:eastAsia="en-US"/>
                </w:rPr>
                <m:t>)(1-</m:t>
              </m:r>
              <m:r>
                <w:rPr>
                  <w:rFonts w:ascii="Cambria Math" w:hAnsi="Cambria Math"/>
                  <w:lang w:eastAsia="en-US"/>
                </w:rPr>
                <m:t>δ</m:t>
              </m:r>
              <m:r>
                <w:rPr>
                  <w:rFonts w:ascii="Cambria Math" w:hAnsi="Cambria Math"/>
                  <w:lang w:eastAsia="en-US"/>
                </w:rPr>
                <m:t>) </m:t>
              </m:r>
            </m:den>
          </m:f>
          <m:r>
            <w:rPr>
              <w:rFonts w:ascii="Cambria Math" w:hAnsi="Cambria Math"/>
              <w:lang w:eastAsia="en-US"/>
            </w:rPr>
            <m:t>&gt;</m:t>
          </m:r>
          <m:f>
            <m:fPr>
              <m:ctrlPr>
                <w:rPr>
                  <w:rFonts w:ascii="Cambria Math" w:hAnsi="Cambria Math"/>
                  <w:i/>
                  <w:iCs/>
                  <w:lang w:eastAsia="en-US"/>
                </w:rPr>
              </m:ctrlPr>
            </m:fPr>
            <m:num>
              <m:r>
                <w:rPr>
                  <w:rFonts w:ascii="Cambria Math" w:hAnsi="Cambria Math"/>
                  <w:lang w:eastAsia="en-US"/>
                </w:rPr>
                <m:t>number</m:t>
              </m:r>
              <m:r>
                <w:rPr>
                  <w:rFonts w:ascii="Cambria Math" w:hAnsi="Cambria Math"/>
                  <w:lang w:eastAsia="en-US"/>
                </w:rPr>
                <m:t> </m:t>
              </m:r>
              <m:r>
                <w:rPr>
                  <w:rFonts w:ascii="Cambria Math" w:hAnsi="Cambria Math"/>
                  <w:lang w:eastAsia="en-US"/>
                </w:rPr>
                <m:t>of</m:t>
              </m:r>
              <m:r>
                <w:rPr>
                  <w:rFonts w:ascii="Cambria Math" w:hAnsi="Cambria Math"/>
                  <w:lang w:eastAsia="en-US"/>
                </w:rPr>
                <m:t> </m:t>
              </m:r>
              <m:r>
                <w:rPr>
                  <w:rFonts w:ascii="Cambria Math" w:hAnsi="Cambria Math"/>
                  <w:lang w:eastAsia="en-US"/>
                </w:rPr>
                <m:t>switc</m:t>
              </m:r>
              <m:r>
                <w:rPr>
                  <w:rFonts w:ascii="Cambria Math" w:hAnsi="Cambria Math"/>
                  <w:lang w:eastAsia="en-US"/>
                </w:rPr>
                <m:t>h</m:t>
              </m:r>
              <m:r>
                <w:rPr>
                  <w:rFonts w:ascii="Cambria Math" w:hAnsi="Cambria Math"/>
                  <w:lang w:eastAsia="en-US"/>
                </w:rPr>
                <m:t>ers</m:t>
              </m:r>
            </m:num>
            <m:den>
              <m:r>
                <w:rPr>
                  <w:rFonts w:ascii="Cambria Math" w:hAnsi="Cambria Math"/>
                  <w:lang w:eastAsia="en-US"/>
                </w:rPr>
                <m:t>number</m:t>
              </m:r>
              <m:r>
                <w:rPr>
                  <w:rFonts w:ascii="Cambria Math" w:hAnsi="Cambria Math"/>
                  <w:lang w:eastAsia="en-US"/>
                </w:rPr>
                <m:t> </m:t>
              </m:r>
              <m:r>
                <w:rPr>
                  <w:rFonts w:ascii="Cambria Math" w:hAnsi="Cambria Math"/>
                  <w:lang w:eastAsia="en-US"/>
                </w:rPr>
                <m:t>of</m:t>
              </m:r>
              <m:r>
                <w:rPr>
                  <w:rFonts w:ascii="Cambria Math" w:hAnsi="Cambria Math"/>
                  <w:lang w:eastAsia="en-US"/>
                </w:rPr>
                <m:t> </m:t>
              </m:r>
              <m:r>
                <w:rPr>
                  <w:rFonts w:ascii="Cambria Math" w:hAnsi="Cambria Math"/>
                  <w:lang w:eastAsia="en-US"/>
                </w:rPr>
                <m:t>adopters</m:t>
              </m:r>
            </m:den>
          </m:f>
        </m:oMath>
      </m:oMathPara>
    </w:p>
    <w:p w14:paraId="03E7C982" w14:textId="2874CA43" w:rsidR="00BC210B" w:rsidRDefault="00BC210B" w:rsidP="006666C3">
      <w:pPr>
        <w:rPr>
          <w:lang w:eastAsia="en-US"/>
        </w:rPr>
      </w:pPr>
      <w:r>
        <w:rPr>
          <w:lang w:eastAsia="en-US"/>
        </w:rPr>
        <w:t xml:space="preserve">Where </w:t>
      </w:r>
      <m:oMath>
        <m:r>
          <w:rPr>
            <w:rFonts w:ascii="Cambria Math" w:hAnsi="Cambria Math"/>
            <w:lang w:eastAsia="en-US"/>
          </w:rPr>
          <m:t>β</m:t>
        </m:r>
      </m:oMath>
      <w:r w:rsidR="008709B3">
        <w:rPr>
          <w:iCs/>
          <w:lang w:eastAsia="en-US"/>
        </w:rPr>
        <w:t xml:space="preserve"> is the</w:t>
      </w:r>
      <w:r w:rsidR="008709B3" w:rsidRPr="008709B3">
        <w:rPr>
          <w:lang w:eastAsia="en-US"/>
        </w:rPr>
        <w:t xml:space="preserve"> self-test sensitivity</w:t>
      </w:r>
      <w:r w:rsidR="008709B3">
        <w:rPr>
          <w:lang w:eastAsia="en-US"/>
        </w:rPr>
        <w:t xml:space="preserve">, </w:t>
      </w:r>
      <m:oMath>
        <m:r>
          <w:rPr>
            <w:rFonts w:ascii="Cambria Math" w:hAnsi="Cambria Math"/>
            <w:lang w:eastAsia="en-US"/>
          </w:rPr>
          <m:t>α </m:t>
        </m:r>
      </m:oMath>
      <w:r w:rsidR="00314439">
        <w:rPr>
          <w:lang w:eastAsia="en-US"/>
        </w:rPr>
        <w:t>is the</w:t>
      </w:r>
      <w:r w:rsidR="008709B3" w:rsidRPr="008709B3">
        <w:rPr>
          <w:lang w:eastAsia="en-US"/>
        </w:rPr>
        <w:t xml:space="preserve"> </w:t>
      </w:r>
      <w:r w:rsidR="00314439">
        <w:rPr>
          <w:lang w:eastAsia="en-US"/>
        </w:rPr>
        <w:t xml:space="preserve">adopter LTFU rate, and </w:t>
      </w:r>
      <m:oMath>
        <m:r>
          <w:rPr>
            <w:rFonts w:ascii="Cambria Math" w:hAnsi="Cambria Math"/>
            <w:lang w:eastAsia="en-US"/>
          </w:rPr>
          <m:t>δ</m:t>
        </m:r>
      </m:oMath>
      <w:r w:rsidR="008709B3" w:rsidRPr="008709B3">
        <w:rPr>
          <w:i/>
          <w:iCs/>
          <w:lang w:eastAsia="en-US"/>
        </w:rPr>
        <w:t xml:space="preserve"> </w:t>
      </w:r>
      <w:r w:rsidR="00314439" w:rsidRPr="00314439">
        <w:rPr>
          <w:lang w:eastAsia="en-US"/>
        </w:rPr>
        <w:t xml:space="preserve">is the </w:t>
      </w:r>
      <w:r w:rsidR="00314439">
        <w:rPr>
          <w:lang w:eastAsia="en-US"/>
        </w:rPr>
        <w:t>complement rate.</w:t>
      </w:r>
    </w:p>
    <w:p w14:paraId="1F0ADCCF" w14:textId="330C0B40" w:rsidR="003B287E" w:rsidRPr="003D2208" w:rsidRDefault="003B287E" w:rsidP="006666C3">
      <w:pPr>
        <w:rPr>
          <w:rFonts w:ascii="Aptos SemiBold" w:hAnsi="Aptos SemiBold"/>
          <w:lang w:eastAsia="en-US"/>
        </w:rPr>
      </w:pPr>
      <w:r w:rsidRPr="003D2208">
        <w:rPr>
          <w:rFonts w:ascii="Aptos SemiBold" w:hAnsi="Aptos SemiBold"/>
          <w:lang w:eastAsia="en-US"/>
        </w:rPr>
        <w:t xml:space="preserve">In general, </w:t>
      </w:r>
      <w:r w:rsidR="00CC36BE" w:rsidRPr="003D2208">
        <w:rPr>
          <w:rFonts w:ascii="Aptos SemiBold" w:hAnsi="Aptos SemiBold"/>
          <w:lang w:eastAsia="en-US"/>
        </w:rPr>
        <w:t>more cases are identified when the number of adopters</w:t>
      </w:r>
      <w:r w:rsidR="00EC00CA" w:rsidRPr="003D2208">
        <w:rPr>
          <w:rFonts w:ascii="Aptos SemiBold" w:hAnsi="Aptos SemiBold"/>
          <w:lang w:eastAsia="en-US"/>
        </w:rPr>
        <w:t>, self-test sensitivity and complement rate are high, and when the adopter LTFU rate is low.</w:t>
      </w:r>
    </w:p>
    <w:p w14:paraId="7ADFE9C7" w14:textId="77777777" w:rsidR="006703B3" w:rsidRDefault="006703B3" w:rsidP="006666C3">
      <w:pPr>
        <w:rPr>
          <w:lang w:eastAsia="en-US"/>
        </w:rPr>
      </w:pPr>
    </w:p>
    <w:p w14:paraId="26798D05" w14:textId="5E78B613" w:rsidR="00136EA4" w:rsidRDefault="00A958CA" w:rsidP="006666C3">
      <w:pPr>
        <w:rPr>
          <w:lang w:eastAsia="en-US"/>
        </w:rPr>
      </w:pPr>
      <w:r>
        <w:rPr>
          <w:lang w:eastAsia="en-US"/>
        </w:rPr>
        <w:t xml:space="preserve">The behaviour of this relationship between model parameters can be illustrated by the </w:t>
      </w:r>
      <w:r w:rsidR="006703B3">
        <w:rPr>
          <w:lang w:eastAsia="en-US"/>
        </w:rPr>
        <w:t>Figure 1</w:t>
      </w:r>
      <w:r w:rsidR="00877F16">
        <w:rPr>
          <w:lang w:eastAsia="en-US"/>
        </w:rPr>
        <w:t xml:space="preserve">. </w:t>
      </w:r>
      <w:r w:rsidR="00F66DC2">
        <w:rPr>
          <w:lang w:eastAsia="en-US"/>
        </w:rPr>
        <w:t>The coloured cells indicate the maximum p</w:t>
      </w:r>
      <w:r w:rsidR="0078383C">
        <w:rPr>
          <w:lang w:eastAsia="en-US"/>
        </w:rPr>
        <w:t>ermissible</w:t>
      </w:r>
      <w:r w:rsidR="00F66DC2">
        <w:rPr>
          <w:lang w:eastAsia="en-US"/>
        </w:rPr>
        <w:t xml:space="preserve"> </w:t>
      </w:r>
      <w:r w:rsidR="0078383C">
        <w:rPr>
          <w:lang w:eastAsia="en-US"/>
        </w:rPr>
        <w:t xml:space="preserve">number of switchers per adopter to ensure more cases </w:t>
      </w:r>
      <w:r w:rsidR="0078383C">
        <w:rPr>
          <w:lang w:eastAsia="en-US"/>
        </w:rPr>
        <w:lastRenderedPageBreak/>
        <w:t>are diagnosed in the intervention scenario</w:t>
      </w:r>
      <w:r w:rsidR="0072323F">
        <w:rPr>
          <w:lang w:eastAsia="en-US"/>
        </w:rPr>
        <w:t xml:space="preserve">, for the corresponding values of </w:t>
      </w:r>
      <w:r w:rsidR="0099710D">
        <w:rPr>
          <w:lang w:eastAsia="en-US"/>
        </w:rPr>
        <w:t xml:space="preserve">the </w:t>
      </w:r>
      <w:r w:rsidR="0072323F">
        <w:rPr>
          <w:lang w:eastAsia="en-US"/>
        </w:rPr>
        <w:t xml:space="preserve">complement rate and adopter LTFU rate </w:t>
      </w:r>
      <w:r w:rsidR="0099710D">
        <w:rPr>
          <w:lang w:eastAsia="en-US"/>
        </w:rPr>
        <w:t>given along the x- and y-axes.</w:t>
      </w:r>
      <w:r w:rsidR="00963869">
        <w:rPr>
          <w:lang w:eastAsia="en-US"/>
        </w:rPr>
        <w:t xml:space="preserve"> All other parameters are maintained at</w:t>
      </w:r>
      <w:r w:rsidR="00A30F02">
        <w:rPr>
          <w:lang w:eastAsia="en-US"/>
        </w:rPr>
        <w:t xml:space="preserve"> the values given in the “Model Inputs” section</w:t>
      </w:r>
      <w:r w:rsidR="00963869">
        <w:rPr>
          <w:lang w:eastAsia="en-US"/>
        </w:rPr>
        <w:t>, including a self-test sensitivity of 95%.</w:t>
      </w:r>
    </w:p>
    <w:p w14:paraId="78F42553" w14:textId="0288A95B" w:rsidR="0099710D" w:rsidRDefault="0099710D" w:rsidP="006666C3">
      <w:pPr>
        <w:rPr>
          <w:lang w:eastAsia="en-US"/>
        </w:rPr>
      </w:pPr>
      <w:r>
        <w:rPr>
          <w:lang w:eastAsia="en-US"/>
        </w:rPr>
        <w:t xml:space="preserve">For instance, </w:t>
      </w:r>
      <w:r w:rsidR="00AB162A">
        <w:rPr>
          <w:lang w:eastAsia="en-US"/>
        </w:rPr>
        <w:t xml:space="preserve">if the complement rate is 40% and the adopter LTFU rate is </w:t>
      </w:r>
      <w:r w:rsidR="000D6DDB">
        <w:rPr>
          <w:lang w:eastAsia="en-US"/>
        </w:rPr>
        <w:t xml:space="preserve">30%, </w:t>
      </w:r>
      <w:r w:rsidR="00FF178A">
        <w:rPr>
          <w:lang w:eastAsia="en-US"/>
        </w:rPr>
        <w:t xml:space="preserve">there can be </w:t>
      </w:r>
      <w:r w:rsidR="008F5226">
        <w:rPr>
          <w:lang w:eastAsia="en-US"/>
        </w:rPr>
        <w:t>up to</w:t>
      </w:r>
      <w:r w:rsidR="00FF178A">
        <w:rPr>
          <w:lang w:eastAsia="en-US"/>
        </w:rPr>
        <w:t xml:space="preserve"> </w:t>
      </w:r>
      <w:r w:rsidR="00996942">
        <w:rPr>
          <w:lang w:eastAsia="en-US"/>
        </w:rPr>
        <w:t>22</w:t>
      </w:r>
      <w:r w:rsidR="0035702F">
        <w:rPr>
          <w:lang w:eastAsia="en-US"/>
        </w:rPr>
        <w:t>.17</w:t>
      </w:r>
      <w:r w:rsidR="00FF178A">
        <w:rPr>
          <w:lang w:eastAsia="en-US"/>
        </w:rPr>
        <w:t xml:space="preserve"> switchers for each adopter </w:t>
      </w:r>
      <w:r w:rsidR="00064E29">
        <w:rPr>
          <w:lang w:eastAsia="en-US"/>
        </w:rPr>
        <w:t xml:space="preserve">before </w:t>
      </w:r>
      <w:r w:rsidR="00163042">
        <w:rPr>
          <w:lang w:eastAsia="en-US"/>
        </w:rPr>
        <w:t>the intervention scenario no longer results in additional current cases being identified.</w:t>
      </w:r>
    </w:p>
    <w:p w14:paraId="5D07E5DF" w14:textId="77777777" w:rsidR="00F86CEE" w:rsidRDefault="00F86CEE" w:rsidP="006666C3">
      <w:pPr>
        <w:rPr>
          <w:lang w:eastAsia="en-US"/>
        </w:rPr>
      </w:pPr>
    </w:p>
    <w:p w14:paraId="7C47F2FA" w14:textId="26E9FE84" w:rsidR="00CD0ADB" w:rsidRDefault="00CD0ADB" w:rsidP="00CD0ADB">
      <w:pPr>
        <w:pStyle w:val="Heading3"/>
      </w:pPr>
      <w:r>
        <w:t xml:space="preserve">Figure 1: </w:t>
      </w:r>
      <w:r w:rsidR="00CC3F08">
        <w:t>Maximum permissible switchers per adopter to ensure more cases identified in the intervention scenario</w:t>
      </w:r>
    </w:p>
    <w:p w14:paraId="4BCB3AD0" w14:textId="7C642C91" w:rsidR="00F260CC" w:rsidRPr="00F260CC" w:rsidRDefault="00F260CC" w:rsidP="00F260CC">
      <w:pPr>
        <w:rPr>
          <w:lang w:eastAsia="en-US"/>
        </w:rPr>
      </w:pPr>
      <w:r w:rsidRPr="00F260CC">
        <w:rPr>
          <w:noProof/>
        </w:rPr>
        <w:drawing>
          <wp:inline distT="0" distB="0" distL="0" distR="0" wp14:anchorId="5DCE47D1" wp14:editId="5C3D9C7B">
            <wp:extent cx="6120130" cy="2062480"/>
            <wp:effectExtent l="0" t="0" r="0" b="0"/>
            <wp:docPr id="266086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62480"/>
                    </a:xfrm>
                    <a:prstGeom prst="rect">
                      <a:avLst/>
                    </a:prstGeom>
                    <a:noFill/>
                    <a:ln>
                      <a:noFill/>
                    </a:ln>
                  </pic:spPr>
                </pic:pic>
              </a:graphicData>
            </a:graphic>
          </wp:inline>
        </w:drawing>
      </w:r>
    </w:p>
    <w:p w14:paraId="52BDFC45" w14:textId="77777777" w:rsidR="001141E4" w:rsidRDefault="001141E4" w:rsidP="006666C3">
      <w:pPr>
        <w:rPr>
          <w:lang w:eastAsia="en-US"/>
        </w:rPr>
      </w:pPr>
    </w:p>
    <w:p w14:paraId="1A6F4361" w14:textId="39DB764A" w:rsidR="006E1671" w:rsidRDefault="001141E4" w:rsidP="006666C3">
      <w:pPr>
        <w:rPr>
          <w:lang w:eastAsia="en-US"/>
        </w:rPr>
      </w:pPr>
      <w:r>
        <w:rPr>
          <w:lang w:eastAsia="en-US"/>
        </w:rPr>
        <w:t xml:space="preserve">Note that the health benefits themselves come from the number of </w:t>
      </w:r>
      <w:r w:rsidR="00CE4B88">
        <w:rPr>
          <w:lang w:eastAsia="en-US"/>
        </w:rPr>
        <w:t>positive adopters who continue to clinic testing</w:t>
      </w:r>
      <w:r>
        <w:rPr>
          <w:lang w:eastAsia="en-US"/>
        </w:rPr>
        <w:t>, not the number of switchers</w:t>
      </w:r>
      <w:r w:rsidR="00992B17">
        <w:rPr>
          <w:lang w:eastAsia="en-US"/>
        </w:rPr>
        <w:t xml:space="preserve"> or the ratio of switchers to adopters.</w:t>
      </w:r>
    </w:p>
    <w:p w14:paraId="54F32536" w14:textId="77777777" w:rsidR="00CF7DF2" w:rsidRDefault="00CF7DF2" w:rsidP="006666C3">
      <w:pPr>
        <w:rPr>
          <w:lang w:eastAsia="en-US"/>
        </w:rPr>
      </w:pPr>
    </w:p>
    <w:p w14:paraId="0FC0C9F3" w14:textId="626A57F3" w:rsidR="00ED5E72" w:rsidRDefault="00ED5E72" w:rsidP="006666C3">
      <w:pPr>
        <w:rPr>
          <w:lang w:eastAsia="en-US"/>
        </w:rPr>
      </w:pPr>
      <w:r>
        <w:rPr>
          <w:lang w:eastAsia="en-US"/>
        </w:rPr>
        <w:t xml:space="preserve">Figure 2 shows how the </w:t>
      </w:r>
      <w:r w:rsidR="007762CA">
        <w:rPr>
          <w:lang w:eastAsia="en-US"/>
        </w:rPr>
        <w:t xml:space="preserve">number of additional cases diagnosed </w:t>
      </w:r>
      <w:r w:rsidR="000E50B9">
        <w:rPr>
          <w:lang w:eastAsia="en-US"/>
        </w:rPr>
        <w:t xml:space="preserve">declines with declining self-test sensitivity and </w:t>
      </w:r>
      <w:r w:rsidR="00B65E45">
        <w:rPr>
          <w:lang w:eastAsia="en-US"/>
        </w:rPr>
        <w:t xml:space="preserve">number of adopters. At 3 adopters per 100 MSM, </w:t>
      </w:r>
      <w:r w:rsidR="00605AB1">
        <w:rPr>
          <w:lang w:eastAsia="en-US"/>
        </w:rPr>
        <w:t>there</w:t>
      </w:r>
      <w:r w:rsidR="00874ACD">
        <w:rPr>
          <w:lang w:eastAsia="en-US"/>
        </w:rPr>
        <w:t xml:space="preserve"> are fewer additional cases identified in the intervention scenario if the self-test sensitivity is lower than 85%. At 12 adopters per 100 MSM, </w:t>
      </w:r>
      <w:r w:rsidR="007E77C9">
        <w:rPr>
          <w:lang w:eastAsia="en-US"/>
        </w:rPr>
        <w:t xml:space="preserve">there are fewer additional cases identified if the self-test sensitivity is lower than </w:t>
      </w:r>
      <w:r w:rsidR="000065B1">
        <w:rPr>
          <w:lang w:eastAsia="en-US"/>
        </w:rPr>
        <w:t>60%.</w:t>
      </w:r>
      <w:r w:rsidR="00737A3F">
        <w:rPr>
          <w:lang w:eastAsia="en-US"/>
        </w:rPr>
        <w:t xml:space="preserve"> All other parameters are maintained at the values given in the “Model Inputs” section.</w:t>
      </w:r>
    </w:p>
    <w:p w14:paraId="0E51DE4D" w14:textId="77777777" w:rsidR="00F86CEE" w:rsidRDefault="00F86CEE" w:rsidP="006666C3">
      <w:pPr>
        <w:rPr>
          <w:lang w:eastAsia="en-US"/>
        </w:rPr>
      </w:pPr>
    </w:p>
    <w:p w14:paraId="0FFF2829" w14:textId="19068620" w:rsidR="001206DF" w:rsidRDefault="000A5ECB" w:rsidP="000A5ECB">
      <w:pPr>
        <w:pStyle w:val="Heading3"/>
      </w:pPr>
      <w:r>
        <w:lastRenderedPageBreak/>
        <w:t>Figure 2: Additional current cases diagnosed, as % of total current cases</w:t>
      </w:r>
      <w:r w:rsidR="006703B3">
        <w:t>, for varying self-test sensitivity</w:t>
      </w:r>
    </w:p>
    <w:p w14:paraId="03975D0F" w14:textId="4E0CF6DD" w:rsidR="001206DF" w:rsidRDefault="00CF7DF2" w:rsidP="001206DF">
      <w:pPr>
        <w:rPr>
          <w:lang w:eastAsia="en-US"/>
        </w:rPr>
      </w:pPr>
      <w:r>
        <w:rPr>
          <w:noProof/>
          <w:lang w:eastAsia="en-US"/>
        </w:rPr>
        <w:drawing>
          <wp:inline distT="0" distB="0" distL="0" distR="0" wp14:anchorId="4AF55D3D" wp14:editId="62675F87">
            <wp:extent cx="5072400" cy="2678400"/>
            <wp:effectExtent l="0" t="0" r="0" b="0"/>
            <wp:docPr id="4711954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2400" cy="2678400"/>
                    </a:xfrm>
                    <a:prstGeom prst="rect">
                      <a:avLst/>
                    </a:prstGeom>
                    <a:noFill/>
                  </pic:spPr>
                </pic:pic>
              </a:graphicData>
            </a:graphic>
          </wp:inline>
        </w:drawing>
      </w:r>
    </w:p>
    <w:p w14:paraId="4D300F1B" w14:textId="73ECF85E" w:rsidR="0039282B" w:rsidRDefault="0039282B" w:rsidP="001206DF">
      <w:pPr>
        <w:rPr>
          <w:lang w:eastAsia="en-US"/>
        </w:rPr>
      </w:pPr>
    </w:p>
    <w:p w14:paraId="72B536E0" w14:textId="77777777" w:rsidR="0039282B" w:rsidRPr="001206DF" w:rsidRDefault="0039282B" w:rsidP="001206DF">
      <w:pPr>
        <w:rPr>
          <w:lang w:eastAsia="en-US"/>
        </w:rPr>
      </w:pPr>
    </w:p>
    <w:p w14:paraId="7434D169" w14:textId="5EB63AEB" w:rsidR="00760E46" w:rsidRDefault="00760E46" w:rsidP="00760E46">
      <w:pPr>
        <w:pStyle w:val="Heading4"/>
      </w:pPr>
      <w:r>
        <w:t>Cost analysis</w:t>
      </w:r>
    </w:p>
    <w:p w14:paraId="4AB64566" w14:textId="6CA158BC" w:rsidR="00F86757" w:rsidRDefault="00F86757" w:rsidP="006666C3">
      <w:pPr>
        <w:rPr>
          <w:lang w:eastAsia="en-US"/>
        </w:rPr>
      </w:pPr>
      <w:r>
        <w:rPr>
          <w:lang w:eastAsia="en-US"/>
        </w:rPr>
        <w:t xml:space="preserve">The cost sensitivity analysis aimed to determine </w:t>
      </w:r>
      <w:r w:rsidR="001A2C8B">
        <w:rPr>
          <w:lang w:eastAsia="en-US"/>
        </w:rPr>
        <w:t xml:space="preserve">the maximum </w:t>
      </w:r>
      <w:r w:rsidR="0010136C">
        <w:rPr>
          <w:lang w:eastAsia="en-US"/>
        </w:rPr>
        <w:t xml:space="preserve">wholesale </w:t>
      </w:r>
      <w:r w:rsidR="001A2C8B">
        <w:rPr>
          <w:lang w:eastAsia="en-US"/>
        </w:rPr>
        <w:t xml:space="preserve">unit cost of the self-test that would result in </w:t>
      </w:r>
      <w:r w:rsidR="00E63EB1">
        <w:rPr>
          <w:lang w:eastAsia="en-US"/>
        </w:rPr>
        <w:t>either cost savings or cost effectiveness</w:t>
      </w:r>
      <w:r w:rsidR="005F30A9">
        <w:rPr>
          <w:lang w:eastAsia="en-US"/>
        </w:rPr>
        <w:t>;</w:t>
      </w:r>
      <w:r w:rsidR="00E63EB1">
        <w:rPr>
          <w:lang w:eastAsia="en-US"/>
        </w:rPr>
        <w:t xml:space="preserve"> for </w:t>
      </w:r>
      <w:r w:rsidR="00D40DFF">
        <w:rPr>
          <w:lang w:eastAsia="en-US"/>
        </w:rPr>
        <w:t xml:space="preserve">all combinations of </w:t>
      </w:r>
      <w:r w:rsidR="00E63EB1">
        <w:rPr>
          <w:lang w:eastAsia="en-US"/>
        </w:rPr>
        <w:t xml:space="preserve">low, medium and high </w:t>
      </w:r>
      <w:r w:rsidR="00D40DFF">
        <w:rPr>
          <w:lang w:eastAsia="en-US"/>
        </w:rPr>
        <w:t>values for</w:t>
      </w:r>
      <w:r w:rsidR="00E63EB1">
        <w:rPr>
          <w:lang w:eastAsia="en-US"/>
        </w:rPr>
        <w:t xml:space="preserve"> the uptake </w:t>
      </w:r>
      <w:r w:rsidR="005F30A9">
        <w:rPr>
          <w:lang w:eastAsia="en-US"/>
        </w:rPr>
        <w:t>parameters and test specifications</w:t>
      </w:r>
      <w:r w:rsidR="003C2839">
        <w:rPr>
          <w:lang w:eastAsia="en-US"/>
        </w:rPr>
        <w:t xml:space="preserve"> (listed in </w:t>
      </w:r>
      <w:r w:rsidR="00637D37">
        <w:rPr>
          <w:lang w:eastAsia="en-US"/>
        </w:rPr>
        <w:t>Table 6</w:t>
      </w:r>
      <w:r w:rsidR="003C2839">
        <w:rPr>
          <w:lang w:eastAsia="en-US"/>
        </w:rPr>
        <w:t xml:space="preserve"> below).</w:t>
      </w:r>
    </w:p>
    <w:p w14:paraId="37745C30" w14:textId="06017170" w:rsidR="003C2839" w:rsidRDefault="003C2839" w:rsidP="006666C3">
      <w:pPr>
        <w:rPr>
          <w:lang w:eastAsia="en-US"/>
        </w:rPr>
      </w:pPr>
      <w:r>
        <w:rPr>
          <w:lang w:eastAsia="en-US"/>
        </w:rPr>
        <w:t>The intervention scenario is considered cost-effective when the cost per additional person correctly diagnosed is less than the cost per person diagnosed under the status quo.</w:t>
      </w:r>
    </w:p>
    <w:p w14:paraId="4C47C697" w14:textId="7C0777EA" w:rsidR="00C51323" w:rsidRDefault="00FC182C" w:rsidP="006666C3">
      <w:pPr>
        <w:rPr>
          <w:lang w:eastAsia="en-US"/>
        </w:rPr>
      </w:pPr>
      <w:r>
        <w:rPr>
          <w:lang w:eastAsia="en-US"/>
        </w:rPr>
        <w:t xml:space="preserve">The </w:t>
      </w:r>
      <w:r w:rsidR="00AC6006">
        <w:rPr>
          <w:lang w:eastAsia="en-US"/>
        </w:rPr>
        <w:t xml:space="preserve">range of </w:t>
      </w:r>
      <w:r>
        <w:rPr>
          <w:lang w:eastAsia="en-US"/>
        </w:rPr>
        <w:t xml:space="preserve">values in </w:t>
      </w:r>
      <w:r w:rsidR="001A7A78">
        <w:rPr>
          <w:lang w:eastAsia="en-US"/>
        </w:rPr>
        <w:t>Table 6</w:t>
      </w:r>
      <w:r>
        <w:rPr>
          <w:lang w:eastAsia="en-US"/>
        </w:rPr>
        <w:t xml:space="preserve"> aim to </w:t>
      </w:r>
      <w:r w:rsidR="00AC6006">
        <w:rPr>
          <w:lang w:eastAsia="en-US"/>
        </w:rPr>
        <w:t xml:space="preserve">approximately </w:t>
      </w:r>
      <w:r w:rsidR="006E2546">
        <w:rPr>
          <w:lang w:eastAsia="en-US"/>
        </w:rPr>
        <w:t>estimate a 90% confidence interval</w:t>
      </w:r>
      <w:r w:rsidR="00AC6006">
        <w:rPr>
          <w:lang w:eastAsia="en-US"/>
        </w:rPr>
        <w:t xml:space="preserve"> for each parameter</w:t>
      </w:r>
      <w:r w:rsidR="006E2546">
        <w:rPr>
          <w:lang w:eastAsia="en-US"/>
        </w:rPr>
        <w:t>, as far as is po</w:t>
      </w:r>
      <w:r w:rsidR="00AC6006">
        <w:rPr>
          <w:lang w:eastAsia="en-US"/>
        </w:rPr>
        <w:t xml:space="preserve">ssible </w:t>
      </w:r>
      <w:r w:rsidR="00312B15">
        <w:rPr>
          <w:lang w:eastAsia="en-US"/>
        </w:rPr>
        <w:t>based on the data available.</w:t>
      </w:r>
    </w:p>
    <w:p w14:paraId="2024619D" w14:textId="4B327F94" w:rsidR="00C531EE" w:rsidRDefault="00C51323" w:rsidP="006666C3">
      <w:pPr>
        <w:rPr>
          <w:lang w:eastAsia="en-US"/>
        </w:rPr>
      </w:pPr>
      <w:r>
        <w:rPr>
          <w:lang w:eastAsia="en-US"/>
        </w:rPr>
        <w:t xml:space="preserve">It was observed that numbers of switchers and adopters in the same ratio produced </w:t>
      </w:r>
      <w:r w:rsidR="004A64AA">
        <w:rPr>
          <w:lang w:eastAsia="en-US"/>
        </w:rPr>
        <w:t xml:space="preserve">both </w:t>
      </w:r>
      <w:r>
        <w:rPr>
          <w:lang w:eastAsia="en-US"/>
        </w:rPr>
        <w:t xml:space="preserve">the </w:t>
      </w:r>
      <w:r w:rsidR="00310281">
        <w:rPr>
          <w:lang w:eastAsia="en-US"/>
        </w:rPr>
        <w:t xml:space="preserve">same savings thresholds </w:t>
      </w:r>
      <w:r w:rsidR="004A64AA">
        <w:rPr>
          <w:lang w:eastAsia="en-US"/>
        </w:rPr>
        <w:t>and</w:t>
      </w:r>
      <w:r w:rsidR="00310281">
        <w:rPr>
          <w:lang w:eastAsia="en-US"/>
        </w:rPr>
        <w:t xml:space="preserve"> </w:t>
      </w:r>
      <w:r w:rsidR="00507B2C">
        <w:rPr>
          <w:lang w:eastAsia="en-US"/>
        </w:rPr>
        <w:t xml:space="preserve">same </w:t>
      </w:r>
      <w:r w:rsidR="00310281">
        <w:rPr>
          <w:lang w:eastAsia="en-US"/>
        </w:rPr>
        <w:t>cost-effectiveness thresholds</w:t>
      </w:r>
      <w:r w:rsidR="00507B2C">
        <w:rPr>
          <w:lang w:eastAsia="en-US"/>
        </w:rPr>
        <w:t xml:space="preserve">, </w:t>
      </w:r>
      <w:r w:rsidR="001201B8">
        <w:rPr>
          <w:lang w:eastAsia="en-US"/>
        </w:rPr>
        <w:t>therefore only the ratio was varied in sensitivity analysis.</w:t>
      </w:r>
      <w:r w:rsidR="00331C9C">
        <w:rPr>
          <w:lang w:eastAsia="en-US"/>
        </w:rPr>
        <w:t xml:space="preserve"> </w:t>
      </w:r>
    </w:p>
    <w:p w14:paraId="62F1306D" w14:textId="6B2AEB3B" w:rsidR="00E64E18" w:rsidRDefault="00EC426E" w:rsidP="006666C3">
      <w:pPr>
        <w:rPr>
          <w:lang w:eastAsia="en-US"/>
        </w:rPr>
      </w:pPr>
      <w:r>
        <w:rPr>
          <w:lang w:eastAsia="en-US"/>
        </w:rPr>
        <w:t xml:space="preserve">The cost benefit analysis was restricted to </w:t>
      </w:r>
      <w:r w:rsidR="00340037">
        <w:rPr>
          <w:lang w:eastAsia="en-US"/>
        </w:rPr>
        <w:t xml:space="preserve">parameter </w:t>
      </w:r>
      <w:r w:rsidR="00A310A1">
        <w:rPr>
          <w:lang w:eastAsia="en-US"/>
        </w:rPr>
        <w:t>combinations</w:t>
      </w:r>
      <w:r>
        <w:rPr>
          <w:lang w:eastAsia="en-US"/>
        </w:rPr>
        <w:t xml:space="preserve"> tha</w:t>
      </w:r>
      <w:r w:rsidR="001111C7">
        <w:rPr>
          <w:lang w:eastAsia="en-US"/>
        </w:rPr>
        <w:t xml:space="preserve">t resulted in more </w:t>
      </w:r>
      <w:r w:rsidR="00C3079E">
        <w:rPr>
          <w:lang w:eastAsia="en-US"/>
        </w:rPr>
        <w:t>diagnoses of current syphilis under the intervention scenario</w:t>
      </w:r>
      <w:r>
        <w:rPr>
          <w:lang w:eastAsia="en-US"/>
        </w:rPr>
        <w:t>.</w:t>
      </w:r>
    </w:p>
    <w:p w14:paraId="32C9DB09" w14:textId="77777777" w:rsidR="00CD0ADB" w:rsidRDefault="00CD0ADB" w:rsidP="006666C3">
      <w:pPr>
        <w:rPr>
          <w:lang w:eastAsia="en-US"/>
        </w:rPr>
      </w:pPr>
    </w:p>
    <w:p w14:paraId="4B2E5397" w14:textId="06AA2408" w:rsidR="00CD0ADB" w:rsidRDefault="00CD0ADB" w:rsidP="00CD0ADB">
      <w:pPr>
        <w:pStyle w:val="Heading3"/>
      </w:pPr>
      <w:r>
        <w:t>Table 6: Multivariate cost sensitivity analysis</w:t>
      </w:r>
    </w:p>
    <w:tbl>
      <w:tblPr>
        <w:tblStyle w:val="TableGrid"/>
        <w:tblW w:w="5000" w:type="pct"/>
        <w:tblLook w:val="0620" w:firstRow="1" w:lastRow="0" w:firstColumn="0" w:lastColumn="0" w:noHBand="1" w:noVBand="1"/>
      </w:tblPr>
      <w:tblGrid>
        <w:gridCol w:w="3247"/>
        <w:gridCol w:w="2355"/>
        <w:gridCol w:w="2014"/>
        <w:gridCol w:w="2012"/>
      </w:tblGrid>
      <w:tr w:rsidR="00176CD7" w:rsidRPr="00E92170" w14:paraId="10300FCA" w14:textId="3F276C60" w:rsidTr="00176CD7">
        <w:trPr>
          <w:tblHeader/>
        </w:trPr>
        <w:tc>
          <w:tcPr>
            <w:tcW w:w="1686" w:type="pct"/>
            <w:shd w:val="clear" w:color="auto" w:fill="F2F2F2" w:themeFill="background1" w:themeFillShade="F2"/>
          </w:tcPr>
          <w:p w14:paraId="023FF71A" w14:textId="08EE832E" w:rsidR="00176CD7" w:rsidRPr="00E92170" w:rsidRDefault="00176CD7">
            <w:pPr>
              <w:spacing w:before="80" w:after="80"/>
              <w:rPr>
                <w:b/>
                <w:bCs/>
              </w:rPr>
            </w:pPr>
            <w:r>
              <w:rPr>
                <w:b/>
                <w:bCs/>
              </w:rPr>
              <w:t>Variable parameter</w:t>
            </w:r>
          </w:p>
        </w:tc>
        <w:tc>
          <w:tcPr>
            <w:tcW w:w="1223" w:type="pct"/>
            <w:shd w:val="clear" w:color="auto" w:fill="F2F2F2" w:themeFill="background1" w:themeFillShade="F2"/>
          </w:tcPr>
          <w:p w14:paraId="6AF75B09" w14:textId="38DCDE94" w:rsidR="00176CD7" w:rsidRPr="00E92170" w:rsidRDefault="00176CD7">
            <w:pPr>
              <w:spacing w:before="80" w:after="80"/>
              <w:rPr>
                <w:b/>
                <w:bCs/>
              </w:rPr>
            </w:pPr>
            <w:r>
              <w:rPr>
                <w:b/>
                <w:bCs/>
              </w:rPr>
              <w:t>Low estimate</w:t>
            </w:r>
          </w:p>
        </w:tc>
        <w:tc>
          <w:tcPr>
            <w:tcW w:w="1046" w:type="pct"/>
            <w:shd w:val="clear" w:color="auto" w:fill="F2F2F2" w:themeFill="background1" w:themeFillShade="F2"/>
          </w:tcPr>
          <w:p w14:paraId="2E6C6A20" w14:textId="727B674C" w:rsidR="00176CD7" w:rsidRPr="00E92170" w:rsidRDefault="00176CD7">
            <w:pPr>
              <w:spacing w:before="80" w:after="80"/>
              <w:rPr>
                <w:b/>
                <w:bCs/>
              </w:rPr>
            </w:pPr>
            <w:r>
              <w:rPr>
                <w:b/>
                <w:bCs/>
              </w:rPr>
              <w:t>Medium estimate</w:t>
            </w:r>
          </w:p>
        </w:tc>
        <w:tc>
          <w:tcPr>
            <w:tcW w:w="1045" w:type="pct"/>
            <w:shd w:val="clear" w:color="auto" w:fill="F2F2F2" w:themeFill="background1" w:themeFillShade="F2"/>
          </w:tcPr>
          <w:p w14:paraId="66757F61" w14:textId="4BC111EC" w:rsidR="00176CD7" w:rsidRDefault="00176CD7">
            <w:pPr>
              <w:spacing w:before="80" w:after="80"/>
              <w:rPr>
                <w:b/>
                <w:bCs/>
              </w:rPr>
            </w:pPr>
            <w:r>
              <w:rPr>
                <w:b/>
                <w:bCs/>
              </w:rPr>
              <w:t>High estimate</w:t>
            </w:r>
          </w:p>
        </w:tc>
      </w:tr>
      <w:tr w:rsidR="00176CD7" w:rsidRPr="00E92170" w14:paraId="5B5B8F3F" w14:textId="117B4886" w:rsidTr="00176CD7">
        <w:tc>
          <w:tcPr>
            <w:tcW w:w="1686" w:type="pct"/>
          </w:tcPr>
          <w:p w14:paraId="1EDA7AC6" w14:textId="26B5B099" w:rsidR="00176CD7" w:rsidRPr="00E92170" w:rsidRDefault="001201B8">
            <w:pPr>
              <w:spacing w:before="80" w:after="80"/>
            </w:pPr>
            <w:r>
              <w:t>Ratio of switchers to adopters</w:t>
            </w:r>
          </w:p>
        </w:tc>
        <w:tc>
          <w:tcPr>
            <w:tcW w:w="1223" w:type="pct"/>
          </w:tcPr>
          <w:p w14:paraId="3EA4AEDC" w14:textId="18AFA856" w:rsidR="00176CD7" w:rsidRPr="00E92170" w:rsidRDefault="00075935">
            <w:pPr>
              <w:spacing w:before="80" w:after="80"/>
            </w:pPr>
            <w:r>
              <w:t>1</w:t>
            </w:r>
          </w:p>
        </w:tc>
        <w:tc>
          <w:tcPr>
            <w:tcW w:w="1046" w:type="pct"/>
          </w:tcPr>
          <w:p w14:paraId="4ED4F8D9" w14:textId="25D9AADC" w:rsidR="00176CD7" w:rsidRPr="00E92170" w:rsidRDefault="00075935">
            <w:pPr>
              <w:spacing w:before="80" w:after="80"/>
            </w:pPr>
            <w:r>
              <w:t>4</w:t>
            </w:r>
          </w:p>
        </w:tc>
        <w:tc>
          <w:tcPr>
            <w:tcW w:w="1045" w:type="pct"/>
          </w:tcPr>
          <w:p w14:paraId="4199FA6C" w14:textId="03B705A2" w:rsidR="00176CD7" w:rsidRPr="00E92170" w:rsidRDefault="00075935">
            <w:pPr>
              <w:spacing w:before="80" w:after="80"/>
            </w:pPr>
            <w:r>
              <w:t>10</w:t>
            </w:r>
          </w:p>
        </w:tc>
      </w:tr>
      <w:tr w:rsidR="00176CD7" w:rsidRPr="00E92170" w14:paraId="4C535626" w14:textId="769D1828" w:rsidTr="00176CD7">
        <w:tc>
          <w:tcPr>
            <w:tcW w:w="1686" w:type="pct"/>
          </w:tcPr>
          <w:p w14:paraId="62934BBC" w14:textId="0FB7FDA2" w:rsidR="00176CD7" w:rsidRPr="00E92170" w:rsidRDefault="001503FB">
            <w:pPr>
              <w:spacing w:before="80" w:after="80"/>
            </w:pPr>
            <w:r>
              <w:t>Complement rate</w:t>
            </w:r>
          </w:p>
        </w:tc>
        <w:tc>
          <w:tcPr>
            <w:tcW w:w="1223" w:type="pct"/>
          </w:tcPr>
          <w:p w14:paraId="47CD620F" w14:textId="64AAB760" w:rsidR="00176CD7" w:rsidRPr="00E92170" w:rsidRDefault="001503FB">
            <w:pPr>
              <w:spacing w:before="80" w:after="80"/>
            </w:pPr>
            <w:r>
              <w:t>50%</w:t>
            </w:r>
          </w:p>
        </w:tc>
        <w:tc>
          <w:tcPr>
            <w:tcW w:w="1046" w:type="pct"/>
          </w:tcPr>
          <w:p w14:paraId="2D37AF78" w14:textId="7546F7E6" w:rsidR="00176CD7" w:rsidRPr="00E92170" w:rsidRDefault="001503FB">
            <w:pPr>
              <w:spacing w:before="80" w:after="80"/>
            </w:pPr>
            <w:r>
              <w:t>70%</w:t>
            </w:r>
          </w:p>
        </w:tc>
        <w:tc>
          <w:tcPr>
            <w:tcW w:w="1045" w:type="pct"/>
          </w:tcPr>
          <w:p w14:paraId="03B4B8FC" w14:textId="27AC9AA9" w:rsidR="00176CD7" w:rsidRPr="00E92170" w:rsidRDefault="001503FB">
            <w:pPr>
              <w:spacing w:before="80" w:after="80"/>
            </w:pPr>
            <w:r>
              <w:t>90%</w:t>
            </w:r>
          </w:p>
        </w:tc>
      </w:tr>
      <w:tr w:rsidR="00176CD7" w:rsidRPr="00E92170" w14:paraId="5B83F448" w14:textId="55A37D3F" w:rsidTr="00176CD7">
        <w:tc>
          <w:tcPr>
            <w:tcW w:w="1686" w:type="pct"/>
          </w:tcPr>
          <w:p w14:paraId="341CDB8D" w14:textId="3AE9F699" w:rsidR="00176CD7" w:rsidRPr="00E92170" w:rsidRDefault="001503FB">
            <w:pPr>
              <w:spacing w:before="80" w:after="80"/>
            </w:pPr>
            <w:r>
              <w:t>Adopter LTFU rate</w:t>
            </w:r>
          </w:p>
        </w:tc>
        <w:tc>
          <w:tcPr>
            <w:tcW w:w="1223" w:type="pct"/>
          </w:tcPr>
          <w:p w14:paraId="521F91B4" w14:textId="5509EEAE" w:rsidR="00176CD7" w:rsidRPr="00E92170" w:rsidRDefault="001503FB">
            <w:pPr>
              <w:spacing w:before="80" w:after="80"/>
            </w:pPr>
            <w:r>
              <w:t>5%</w:t>
            </w:r>
          </w:p>
        </w:tc>
        <w:tc>
          <w:tcPr>
            <w:tcW w:w="1046" w:type="pct"/>
          </w:tcPr>
          <w:p w14:paraId="20258C4C" w14:textId="14CB4838" w:rsidR="00176CD7" w:rsidRPr="00E92170" w:rsidRDefault="00057517">
            <w:pPr>
              <w:spacing w:before="80" w:after="80"/>
            </w:pPr>
            <w:r>
              <w:t>10%</w:t>
            </w:r>
          </w:p>
        </w:tc>
        <w:tc>
          <w:tcPr>
            <w:tcW w:w="1045" w:type="pct"/>
          </w:tcPr>
          <w:p w14:paraId="7C08AF74" w14:textId="43FCE505" w:rsidR="00176CD7" w:rsidRPr="00E92170" w:rsidRDefault="00057517">
            <w:pPr>
              <w:spacing w:before="80" w:after="80"/>
            </w:pPr>
            <w:r>
              <w:t>20%</w:t>
            </w:r>
          </w:p>
        </w:tc>
      </w:tr>
      <w:tr w:rsidR="001503FB" w:rsidRPr="00E92170" w14:paraId="29814561" w14:textId="77777777" w:rsidTr="00176CD7">
        <w:tc>
          <w:tcPr>
            <w:tcW w:w="1686" w:type="pct"/>
          </w:tcPr>
          <w:p w14:paraId="1D40D1C9" w14:textId="2A330002" w:rsidR="001503FB" w:rsidRPr="00E92170" w:rsidRDefault="00057517">
            <w:pPr>
              <w:spacing w:before="80" w:after="80"/>
            </w:pPr>
            <w:r>
              <w:t>Self-test sensitivity</w:t>
            </w:r>
          </w:p>
        </w:tc>
        <w:tc>
          <w:tcPr>
            <w:tcW w:w="1223" w:type="pct"/>
          </w:tcPr>
          <w:p w14:paraId="5ABCCCE8" w14:textId="4772A56B" w:rsidR="001503FB" w:rsidRPr="00E92170" w:rsidRDefault="00E716E2">
            <w:pPr>
              <w:spacing w:before="80" w:after="80"/>
            </w:pPr>
            <w:r>
              <w:t>80%</w:t>
            </w:r>
          </w:p>
        </w:tc>
        <w:tc>
          <w:tcPr>
            <w:tcW w:w="1046" w:type="pct"/>
          </w:tcPr>
          <w:p w14:paraId="180DC5A9" w14:textId="1F9BA76D" w:rsidR="001503FB" w:rsidRPr="00E92170" w:rsidRDefault="00E716E2">
            <w:pPr>
              <w:spacing w:before="80" w:after="80"/>
            </w:pPr>
            <w:r>
              <w:t>90%</w:t>
            </w:r>
          </w:p>
        </w:tc>
        <w:tc>
          <w:tcPr>
            <w:tcW w:w="1045" w:type="pct"/>
          </w:tcPr>
          <w:p w14:paraId="6364B504" w14:textId="40D6E23A" w:rsidR="001503FB" w:rsidRPr="00E92170" w:rsidRDefault="00E716E2">
            <w:pPr>
              <w:spacing w:before="80" w:after="80"/>
            </w:pPr>
            <w:r>
              <w:t>99%</w:t>
            </w:r>
          </w:p>
        </w:tc>
      </w:tr>
      <w:tr w:rsidR="001503FB" w:rsidRPr="00E92170" w14:paraId="7410D9C6" w14:textId="77777777" w:rsidTr="00176CD7">
        <w:tc>
          <w:tcPr>
            <w:tcW w:w="1686" w:type="pct"/>
          </w:tcPr>
          <w:p w14:paraId="3D6E149C" w14:textId="063A0692" w:rsidR="001503FB" w:rsidRPr="00E92170" w:rsidRDefault="00057517">
            <w:pPr>
              <w:spacing w:before="80" w:after="80"/>
            </w:pPr>
            <w:r>
              <w:lastRenderedPageBreak/>
              <w:t xml:space="preserve">Self-test specificity </w:t>
            </w:r>
            <w:r w:rsidR="00A5455F">
              <w:t>(past infection)</w:t>
            </w:r>
          </w:p>
        </w:tc>
        <w:tc>
          <w:tcPr>
            <w:tcW w:w="1223" w:type="pct"/>
          </w:tcPr>
          <w:p w14:paraId="431972EF" w14:textId="17A66C1C" w:rsidR="001503FB" w:rsidRPr="00E92170" w:rsidRDefault="00E716E2">
            <w:pPr>
              <w:spacing w:before="80" w:after="80"/>
            </w:pPr>
            <w:r>
              <w:t>70%</w:t>
            </w:r>
          </w:p>
        </w:tc>
        <w:tc>
          <w:tcPr>
            <w:tcW w:w="1046" w:type="pct"/>
          </w:tcPr>
          <w:p w14:paraId="425B1D48" w14:textId="4285B016" w:rsidR="001503FB" w:rsidRPr="00E92170" w:rsidRDefault="00A5455F">
            <w:pPr>
              <w:spacing w:before="80" w:after="80"/>
            </w:pPr>
            <w:r>
              <w:t>85</w:t>
            </w:r>
            <w:r w:rsidR="00E716E2">
              <w:t>%</w:t>
            </w:r>
          </w:p>
        </w:tc>
        <w:tc>
          <w:tcPr>
            <w:tcW w:w="1045" w:type="pct"/>
          </w:tcPr>
          <w:p w14:paraId="3C7F208F" w14:textId="79201055" w:rsidR="001503FB" w:rsidRPr="00E92170" w:rsidRDefault="00A5455F">
            <w:pPr>
              <w:spacing w:before="80" w:after="80"/>
            </w:pPr>
            <w:r>
              <w:t>99</w:t>
            </w:r>
            <w:r w:rsidR="00E716E2">
              <w:t>%</w:t>
            </w:r>
          </w:p>
        </w:tc>
      </w:tr>
    </w:tbl>
    <w:p w14:paraId="74C09202" w14:textId="77777777" w:rsidR="00312B15" w:rsidRDefault="00312B15" w:rsidP="006666C3">
      <w:pPr>
        <w:rPr>
          <w:lang w:eastAsia="en-US"/>
        </w:rPr>
      </w:pPr>
    </w:p>
    <w:p w14:paraId="6E89E70A" w14:textId="1F208FF7" w:rsidR="00A120D2" w:rsidRDefault="00340037" w:rsidP="006666C3">
      <w:pPr>
        <w:rPr>
          <w:lang w:eastAsia="en-US"/>
        </w:rPr>
      </w:pPr>
      <w:r>
        <w:rPr>
          <w:lang w:eastAsia="en-US"/>
        </w:rPr>
        <w:t xml:space="preserve">The analysis results </w:t>
      </w:r>
      <w:r w:rsidR="00593FE6">
        <w:rPr>
          <w:lang w:eastAsia="en-US"/>
        </w:rPr>
        <w:t xml:space="preserve">produced a range in cost-saving thresholds from $2.00 to $79.02. </w:t>
      </w:r>
      <w:r w:rsidR="002C2A72" w:rsidRPr="007F028D">
        <w:rPr>
          <w:rFonts w:ascii="Aptos SemiBold" w:hAnsi="Aptos SemiBold"/>
          <w:lang w:eastAsia="en-US"/>
        </w:rPr>
        <w:t xml:space="preserve">The strongest predictors for a low threshold were a high complement rate and a low </w:t>
      </w:r>
      <w:r w:rsidR="00DF0D02" w:rsidRPr="007F028D">
        <w:rPr>
          <w:rFonts w:ascii="Aptos SemiBold" w:hAnsi="Aptos SemiBold"/>
          <w:lang w:eastAsia="en-US"/>
        </w:rPr>
        <w:t>switcher-to-adopter ratio</w:t>
      </w:r>
      <w:r w:rsidR="002709BA">
        <w:rPr>
          <w:lang w:eastAsia="en-US"/>
        </w:rPr>
        <w:t>.</w:t>
      </w:r>
    </w:p>
    <w:p w14:paraId="05662D17" w14:textId="0B71D02F" w:rsidR="000F1A89" w:rsidRDefault="00424304" w:rsidP="000F1A89">
      <w:pPr>
        <w:rPr>
          <w:lang w:eastAsia="en-US"/>
        </w:rPr>
      </w:pPr>
      <w:r>
        <w:rPr>
          <w:lang w:eastAsia="en-US"/>
        </w:rPr>
        <w:t>The range of cost-effectiveness thresholds was $21.18 to $</w:t>
      </w:r>
      <w:r w:rsidR="001B4002">
        <w:rPr>
          <w:lang w:eastAsia="en-US"/>
        </w:rPr>
        <w:t xml:space="preserve">124.91. </w:t>
      </w:r>
      <w:r w:rsidR="001B4002" w:rsidRPr="007F028D">
        <w:rPr>
          <w:rFonts w:ascii="Aptos SemiBold" w:hAnsi="Aptos SemiBold"/>
          <w:lang w:eastAsia="en-US"/>
        </w:rPr>
        <w:t xml:space="preserve">The strongest predictors for a low threshold were </w:t>
      </w:r>
      <w:r w:rsidR="00E1438D" w:rsidRPr="007F028D">
        <w:rPr>
          <w:rFonts w:ascii="Aptos SemiBold" w:hAnsi="Aptos SemiBold"/>
          <w:lang w:eastAsia="en-US"/>
        </w:rPr>
        <w:t xml:space="preserve">a high complement rate and </w:t>
      </w:r>
      <w:r w:rsidR="008E454B" w:rsidRPr="007F028D">
        <w:rPr>
          <w:rFonts w:ascii="Aptos SemiBold" w:hAnsi="Aptos SemiBold"/>
          <w:lang w:eastAsia="en-US"/>
        </w:rPr>
        <w:t>a high switch</w:t>
      </w:r>
      <w:r w:rsidR="00CF3D29" w:rsidRPr="007F028D">
        <w:rPr>
          <w:rFonts w:ascii="Aptos SemiBold" w:hAnsi="Aptos SemiBold"/>
          <w:lang w:eastAsia="en-US"/>
        </w:rPr>
        <w:t>er-to-adopter ratio</w:t>
      </w:r>
      <w:r w:rsidR="00CF3D29">
        <w:rPr>
          <w:lang w:eastAsia="en-US"/>
        </w:rPr>
        <w:t>.</w:t>
      </w:r>
    </w:p>
    <w:p w14:paraId="75B756C3" w14:textId="77777777" w:rsidR="00FC0DA0" w:rsidRDefault="00FC0DA0" w:rsidP="000F1A89">
      <w:pPr>
        <w:rPr>
          <w:lang w:eastAsia="en-US"/>
        </w:rPr>
      </w:pPr>
    </w:p>
    <w:p w14:paraId="0838C39B" w14:textId="0C09B7B1" w:rsidR="00AA07A2" w:rsidRDefault="004817A8" w:rsidP="004817A8">
      <w:pPr>
        <w:pStyle w:val="Heading2"/>
      </w:pPr>
      <w:r>
        <w:t>References</w:t>
      </w:r>
    </w:p>
    <w:p w14:paraId="2804CCA3" w14:textId="77777777" w:rsidR="00AA07A2" w:rsidRDefault="00AA07A2" w:rsidP="000F1A89">
      <w:pPr>
        <w:rPr>
          <w:lang w:eastAsia="en-US"/>
        </w:rPr>
      </w:pPr>
    </w:p>
    <w:p w14:paraId="7348ED8F" w14:textId="77777777" w:rsidR="00D865F2" w:rsidRPr="00D865F2" w:rsidRDefault="00AA07A2" w:rsidP="00D865F2">
      <w:pPr>
        <w:pStyle w:val="EndNoteBibliography"/>
        <w:spacing w:after="0"/>
        <w:ind w:left="720" w:hanging="720"/>
      </w:pPr>
      <w:r>
        <w:rPr>
          <w:lang w:eastAsia="en-US"/>
        </w:rPr>
        <w:fldChar w:fldCharType="begin"/>
      </w:r>
      <w:r>
        <w:rPr>
          <w:lang w:eastAsia="en-US"/>
        </w:rPr>
        <w:instrText xml:space="preserve"> ADDIN EN.REFLIST </w:instrText>
      </w:r>
      <w:r>
        <w:rPr>
          <w:lang w:eastAsia="en-US"/>
        </w:rPr>
        <w:fldChar w:fldCharType="separate"/>
      </w:r>
      <w:r w:rsidR="00D865F2" w:rsidRPr="00D865F2">
        <w:t>1.</w:t>
      </w:r>
      <w:r w:rsidR="00D865F2" w:rsidRPr="00D865F2">
        <w:tab/>
      </w:r>
      <w:r w:rsidR="00D865F2" w:rsidRPr="00D865F2">
        <w:rPr>
          <w:i/>
        </w:rPr>
        <w:t>GBQ+ Community Periodic Surveys | Centre for Social Research in Health - UNSW Sydney.</w:t>
      </w:r>
      <w:r w:rsidR="00D865F2" w:rsidRPr="00D865F2">
        <w:t xml:space="preserve"> UNSW Sites.</w:t>
      </w:r>
    </w:p>
    <w:p w14:paraId="25257FB6" w14:textId="77777777" w:rsidR="00D865F2" w:rsidRPr="00D865F2" w:rsidRDefault="00D865F2" w:rsidP="00D865F2">
      <w:pPr>
        <w:pStyle w:val="EndNoteBibliography"/>
        <w:spacing w:after="0"/>
        <w:ind w:left="720" w:hanging="720"/>
      </w:pPr>
      <w:r w:rsidRPr="00D865F2">
        <w:t>2.</w:t>
      </w:r>
      <w:r w:rsidRPr="00D865F2">
        <w:tab/>
        <w:t xml:space="preserve">Newham, B., et al. </w:t>
      </w:r>
      <w:r w:rsidRPr="00D865F2">
        <w:rPr>
          <w:i/>
        </w:rPr>
        <w:t>Implementing Australia's first free national HIV self-testing service - first year successed in attracting high proportions of overseas born, Medicare ineligible, suburban, and regional users</w:t>
      </w:r>
      <w:r w:rsidRPr="00D865F2">
        <w:t>. in</w:t>
      </w:r>
      <w:r w:rsidRPr="00D865F2">
        <w:rPr>
          <w:i/>
        </w:rPr>
        <w:t xml:space="preserve"> 2nd Asia Pacific Conference on Point of Care Testing</w:t>
      </w:r>
      <w:r w:rsidRPr="00D865F2">
        <w:t>. 2025. Bangkok, Thailand.</w:t>
      </w:r>
    </w:p>
    <w:p w14:paraId="0342B457" w14:textId="2382565C" w:rsidR="00D865F2" w:rsidRPr="00D865F2" w:rsidRDefault="00D865F2" w:rsidP="00D865F2">
      <w:pPr>
        <w:pStyle w:val="EndNoteBibliography"/>
        <w:spacing w:after="0"/>
        <w:ind w:left="720" w:hanging="720"/>
      </w:pPr>
      <w:r w:rsidRPr="00D865F2">
        <w:t>3.</w:t>
      </w:r>
      <w:r w:rsidRPr="00D865F2">
        <w:tab/>
      </w:r>
      <w:r w:rsidRPr="00D865F2">
        <w:rPr>
          <w:i/>
        </w:rPr>
        <w:t>Home - ACCESS Project</w:t>
      </w:r>
      <w:r w:rsidRPr="00D865F2">
        <w:t xml:space="preserve">. Available from: </w:t>
      </w:r>
      <w:hyperlink r:id="rId14" w:history="1">
        <w:r w:rsidRPr="00D865F2">
          <w:rPr>
            <w:rStyle w:val="Hyperlink"/>
          </w:rPr>
          <w:t>https://accessproject.org.au/</w:t>
        </w:r>
      </w:hyperlink>
      <w:r w:rsidRPr="00D865F2">
        <w:t>.</w:t>
      </w:r>
    </w:p>
    <w:p w14:paraId="2FC99507" w14:textId="77777777" w:rsidR="00D865F2" w:rsidRPr="00D865F2" w:rsidRDefault="00D865F2" w:rsidP="00D865F2">
      <w:pPr>
        <w:pStyle w:val="EndNoteBibliography"/>
        <w:spacing w:after="0"/>
        <w:ind w:left="720" w:hanging="720"/>
      </w:pPr>
      <w:r w:rsidRPr="00D865F2">
        <w:t>4.</w:t>
      </w:r>
      <w:r w:rsidRPr="00D865F2">
        <w:tab/>
        <w:t xml:space="preserve">Park, I.U., et al., </w:t>
      </w:r>
      <w:r w:rsidRPr="00D865F2">
        <w:rPr>
          <w:i/>
        </w:rPr>
        <w:t>Sensitivity and Specificity of Treponemal-specific Tests for the Diagnosis of Syphilis.</w:t>
      </w:r>
      <w:r w:rsidRPr="00D865F2">
        <w:t xml:space="preserve"> Clinical Infectious Diseases, 2020. </w:t>
      </w:r>
      <w:r w:rsidRPr="00D865F2">
        <w:rPr>
          <w:b/>
        </w:rPr>
        <w:t>71</w:t>
      </w:r>
      <w:r w:rsidRPr="00D865F2">
        <w:t>(Supplement_1): p. S13-S20.</w:t>
      </w:r>
    </w:p>
    <w:p w14:paraId="31551248" w14:textId="77777777" w:rsidR="00D865F2" w:rsidRPr="00D865F2" w:rsidRDefault="00D865F2" w:rsidP="00D865F2">
      <w:pPr>
        <w:pStyle w:val="EndNoteBibliography"/>
        <w:spacing w:after="0"/>
        <w:ind w:left="720" w:hanging="720"/>
      </w:pPr>
      <w:r w:rsidRPr="00D865F2">
        <w:t>5.</w:t>
      </w:r>
      <w:r w:rsidRPr="00D865F2">
        <w:tab/>
        <w:t xml:space="preserve">Larsen, S.A., B.M. Steiner, and A.H. Rudolph, </w:t>
      </w:r>
      <w:r w:rsidRPr="00D865F2">
        <w:rPr>
          <w:i/>
        </w:rPr>
        <w:t>Laboratory diagnosis and interpretation of tests for syphilis.</w:t>
      </w:r>
      <w:r w:rsidRPr="00D865F2">
        <w:t xml:space="preserve"> Clinical Microbiology Reviews, 1995. </w:t>
      </w:r>
      <w:r w:rsidRPr="00D865F2">
        <w:rPr>
          <w:b/>
        </w:rPr>
        <w:t>8</w:t>
      </w:r>
      <w:r w:rsidRPr="00D865F2">
        <w:t>(1): p. 1-21.</w:t>
      </w:r>
    </w:p>
    <w:p w14:paraId="6CD40F86" w14:textId="77777777" w:rsidR="00D865F2" w:rsidRPr="00D865F2" w:rsidRDefault="00D865F2" w:rsidP="00D865F2">
      <w:pPr>
        <w:pStyle w:val="EndNoteBibliography"/>
        <w:spacing w:after="0"/>
        <w:ind w:left="720" w:hanging="720"/>
      </w:pPr>
      <w:r w:rsidRPr="00D865F2">
        <w:t>6.</w:t>
      </w:r>
      <w:r w:rsidRPr="00D865F2">
        <w:tab/>
        <w:t xml:space="preserve">Park, I.U., et al., </w:t>
      </w:r>
      <w:r w:rsidRPr="00D865F2">
        <w:rPr>
          <w:i/>
        </w:rPr>
        <w:t>Performance of Treponemal Tests for the Diagnosis of Syphilis.</w:t>
      </w:r>
      <w:r w:rsidRPr="00D865F2">
        <w:t xml:space="preserve"> Clinical Infectious Diseases, 2019. </w:t>
      </w:r>
      <w:r w:rsidRPr="00D865F2">
        <w:rPr>
          <w:b/>
        </w:rPr>
        <w:t>68</w:t>
      </w:r>
      <w:r w:rsidRPr="00D865F2">
        <w:t>(6): p. 913-918.</w:t>
      </w:r>
    </w:p>
    <w:p w14:paraId="39085131" w14:textId="77777777" w:rsidR="00D865F2" w:rsidRPr="00D865F2" w:rsidRDefault="00D865F2" w:rsidP="00D865F2">
      <w:pPr>
        <w:pStyle w:val="EndNoteBibliography"/>
        <w:spacing w:after="0"/>
        <w:ind w:left="720" w:hanging="720"/>
      </w:pPr>
      <w:r w:rsidRPr="00D865F2">
        <w:t>7.</w:t>
      </w:r>
      <w:r w:rsidRPr="00D865F2">
        <w:tab/>
        <w:t xml:space="preserve">Cantor, A., et al., </w:t>
      </w:r>
      <w:r w:rsidRPr="00D865F2">
        <w:rPr>
          <w:i/>
        </w:rPr>
        <w:t>Introduction</w:t>
      </w:r>
      <w:r w:rsidRPr="00D865F2">
        <w:t xml:space="preserve">, in </w:t>
      </w:r>
      <w:r w:rsidRPr="00D865F2">
        <w:rPr>
          <w:i/>
        </w:rPr>
        <w:t>Screening for Syphilis in Nonpregnant Adolescents and Adults: Systematic Review to Update the 2004 U.S. Preventive Services Task Force Recommendation [Internet]</w:t>
      </w:r>
      <w:r w:rsidRPr="00D865F2">
        <w:t>. 2016, Agency for Healthcare Research and Quality (US): Rockville, Maryland.</w:t>
      </w:r>
    </w:p>
    <w:p w14:paraId="6CA51854" w14:textId="77777777" w:rsidR="00D865F2" w:rsidRPr="00D865F2" w:rsidRDefault="00D865F2" w:rsidP="00D865F2">
      <w:pPr>
        <w:pStyle w:val="EndNoteBibliography"/>
        <w:spacing w:after="0"/>
        <w:ind w:left="720" w:hanging="720"/>
      </w:pPr>
      <w:r w:rsidRPr="00D865F2">
        <w:t>8.</w:t>
      </w:r>
      <w:r w:rsidRPr="00D865F2">
        <w:tab/>
      </w:r>
      <w:r w:rsidRPr="00D865F2">
        <w:rPr>
          <w:i/>
        </w:rPr>
        <w:t>Syphilis – CDNA National Guidelines for Public Health Units</w:t>
      </w:r>
      <w:r w:rsidRPr="00D865F2">
        <w:t>. 2018, Australian Government Department of Health and Aged Care.</w:t>
      </w:r>
    </w:p>
    <w:p w14:paraId="586E963F" w14:textId="77777777" w:rsidR="00D865F2" w:rsidRPr="00D865F2" w:rsidRDefault="00D865F2" w:rsidP="00D865F2">
      <w:pPr>
        <w:pStyle w:val="EndNoteBibliography"/>
        <w:spacing w:after="0"/>
        <w:ind w:left="720" w:hanging="720"/>
      </w:pPr>
      <w:r w:rsidRPr="00D865F2">
        <w:t>9.</w:t>
      </w:r>
      <w:r w:rsidRPr="00D865F2">
        <w:tab/>
        <w:t xml:space="preserve">Satyaputra, F., et al., </w:t>
      </w:r>
      <w:r w:rsidRPr="00D865F2">
        <w:rPr>
          <w:i/>
        </w:rPr>
        <w:t>The Laboratory Diagnosis of Syphilis.</w:t>
      </w:r>
      <w:r w:rsidRPr="00D865F2">
        <w:t xml:space="preserve"> Journal of Clinical Microbiology, 2021. </w:t>
      </w:r>
      <w:r w:rsidRPr="00D865F2">
        <w:rPr>
          <w:b/>
        </w:rPr>
        <w:t>59</w:t>
      </w:r>
      <w:r w:rsidRPr="00D865F2">
        <w:t>(10): p. e00100-21.</w:t>
      </w:r>
    </w:p>
    <w:p w14:paraId="7C0F5E17" w14:textId="77777777" w:rsidR="00D865F2" w:rsidRPr="00D865F2" w:rsidRDefault="00D865F2" w:rsidP="00D865F2">
      <w:pPr>
        <w:pStyle w:val="EndNoteBibliography"/>
        <w:spacing w:after="0"/>
        <w:ind w:left="720" w:hanging="720"/>
      </w:pPr>
      <w:r w:rsidRPr="00D865F2">
        <w:t>10.</w:t>
      </w:r>
      <w:r w:rsidRPr="00D865F2">
        <w:tab/>
      </w:r>
      <w:r w:rsidRPr="00D865F2">
        <w:rPr>
          <w:i/>
        </w:rPr>
        <w:t>Point-of-care tests for sexually transmitted infections: Target product profiles</w:t>
      </w:r>
      <w:r w:rsidRPr="00D865F2">
        <w:t>. 2023, World Health Organisation: Geneva.</w:t>
      </w:r>
    </w:p>
    <w:p w14:paraId="42FFFD63" w14:textId="197F2129" w:rsidR="00D865F2" w:rsidRPr="00D865F2" w:rsidRDefault="00D865F2" w:rsidP="00D865F2">
      <w:pPr>
        <w:pStyle w:val="EndNoteBibliography"/>
        <w:ind w:left="720" w:hanging="720"/>
      </w:pPr>
      <w:r w:rsidRPr="00D865F2">
        <w:t>11.</w:t>
      </w:r>
      <w:r w:rsidRPr="00D865F2">
        <w:tab/>
      </w:r>
      <w:r w:rsidRPr="00D865F2">
        <w:rPr>
          <w:i/>
        </w:rPr>
        <w:t>MBS Online</w:t>
      </w:r>
      <w:r w:rsidRPr="00D865F2">
        <w:t xml:space="preserve">.  [cited 2025 12 August ]; Available from: </w:t>
      </w:r>
      <w:hyperlink r:id="rId15" w:history="1">
        <w:r w:rsidRPr="00D865F2">
          <w:rPr>
            <w:rStyle w:val="Hyperlink"/>
          </w:rPr>
          <w:t>https://www.mbsonline.gov.au/</w:t>
        </w:r>
      </w:hyperlink>
      <w:r w:rsidRPr="00D865F2">
        <w:t>.</w:t>
      </w:r>
    </w:p>
    <w:p w14:paraId="2D070CDE" w14:textId="74999542" w:rsidR="00FC0DA0" w:rsidRPr="000F1A89" w:rsidRDefault="00AA07A2" w:rsidP="000F1A89">
      <w:pPr>
        <w:rPr>
          <w:lang w:eastAsia="en-US"/>
        </w:rPr>
      </w:pPr>
      <w:r>
        <w:rPr>
          <w:lang w:eastAsia="en-US"/>
        </w:rPr>
        <w:fldChar w:fldCharType="end"/>
      </w:r>
    </w:p>
    <w:sectPr w:rsidR="00FC0DA0" w:rsidRPr="000F1A89" w:rsidSect="00556235">
      <w:headerReference w:type="default" r:id="rId16"/>
      <w:footerReference w:type="default" r:id="rId17"/>
      <w:headerReference w:type="first" r:id="rId18"/>
      <w:footerReference w:type="first" r:id="rId19"/>
      <w:pgSz w:w="11906" w:h="16838"/>
      <w:pgMar w:top="1134" w:right="1134" w:bottom="1134" w:left="1134" w:header="28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E84F" w14:textId="77777777" w:rsidR="00BE3C5F" w:rsidRDefault="00BE3C5F" w:rsidP="0068394D">
      <w:r>
        <w:separator/>
      </w:r>
    </w:p>
  </w:endnote>
  <w:endnote w:type="continuationSeparator" w:id="0">
    <w:p w14:paraId="111BDE46" w14:textId="77777777" w:rsidR="00BE3C5F" w:rsidRDefault="00BE3C5F" w:rsidP="006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FB57" w14:textId="6E8EFD70" w:rsidR="0068394D" w:rsidRPr="00BA2E57" w:rsidRDefault="00BA2E57" w:rsidP="00BA2E57">
    <w:pPr>
      <w:tabs>
        <w:tab w:val="left" w:pos="5529"/>
        <w:tab w:val="left" w:pos="8505"/>
      </w:tabs>
      <w:rPr>
        <w:sz w:val="21"/>
        <w:szCs w:val="21"/>
      </w:rPr>
    </w:pPr>
    <w:r w:rsidRPr="003A0974">
      <w:rPr>
        <w:sz w:val="21"/>
        <w:szCs w:val="21"/>
      </w:rPr>
      <w:t xml:space="preserve">Page </w:t>
    </w:r>
    <w:r w:rsidRPr="003A0974">
      <w:rPr>
        <w:sz w:val="21"/>
        <w:szCs w:val="21"/>
      </w:rPr>
      <w:fldChar w:fldCharType="begin"/>
    </w:r>
    <w:r w:rsidRPr="003A0974">
      <w:rPr>
        <w:sz w:val="21"/>
        <w:szCs w:val="21"/>
      </w:rPr>
      <w:instrText xml:space="preserve"> PAGE   \* MERGEFORMAT </w:instrText>
    </w:r>
    <w:r w:rsidRPr="003A0974">
      <w:rPr>
        <w:sz w:val="21"/>
        <w:szCs w:val="21"/>
      </w:rPr>
      <w:fldChar w:fldCharType="separate"/>
    </w:r>
    <w:r>
      <w:rPr>
        <w:sz w:val="21"/>
        <w:szCs w:val="21"/>
      </w:rPr>
      <w:t>2</w:t>
    </w:r>
    <w:r w:rsidRPr="003A0974">
      <w:rPr>
        <w:noProof/>
        <w:sz w:val="21"/>
        <w:szCs w:val="21"/>
      </w:rPr>
      <w:fldChar w:fldCharType="end"/>
    </w:r>
    <w:r w:rsidRPr="003A0974">
      <w:rPr>
        <w:noProof/>
        <w:sz w:val="21"/>
        <w:szCs w:val="21"/>
      </w:rPr>
      <w:t xml:space="preserve"> | </w:t>
    </w:r>
    <w:r w:rsidR="006456BF" w:rsidRPr="00552809">
      <w:rPr>
        <w:sz w:val="21"/>
        <w:szCs w:val="21"/>
      </w:rPr>
      <w:t>Cost-effectiveness of a novel syphilis test:</w:t>
    </w:r>
    <w:r w:rsidR="006456BF">
      <w:rPr>
        <w:sz w:val="21"/>
        <w:szCs w:val="21"/>
      </w:rPr>
      <w:t xml:space="preserve"> </w:t>
    </w:r>
    <w:r w:rsidR="006456BF" w:rsidRPr="00552809">
      <w:rPr>
        <w:sz w:val="21"/>
        <w:szCs w:val="21"/>
      </w:rPr>
      <w:t>Full input parameters</w:t>
    </w:r>
    <w:r w:rsidR="006456BF">
      <w:rPr>
        <w:sz w:val="21"/>
        <w:szCs w:val="21"/>
      </w:rPr>
      <w:t>,</w:t>
    </w:r>
    <w:r w:rsidR="006456BF" w:rsidRPr="00552809">
      <w:rPr>
        <w:sz w:val="21"/>
        <w:szCs w:val="21"/>
      </w:rPr>
      <w:t xml:space="preserve"> and sensitivity analyses</w:t>
    </w:r>
    <w:r w:rsidR="006456BF">
      <w:rPr>
        <w:sz w:val="21"/>
        <w:szCs w:val="21"/>
      </w:rPr>
      <w:t xml:space="preserve"> 26</w:t>
    </w:r>
    <w:r w:rsidR="006456BF" w:rsidRPr="003A0974">
      <w:rPr>
        <w:sz w:val="21"/>
        <w:szCs w:val="21"/>
      </w:rPr>
      <w:t xml:space="preserve"> </w:t>
    </w:r>
    <w:r w:rsidR="006456BF">
      <w:rPr>
        <w:sz w:val="21"/>
        <w:szCs w:val="21"/>
      </w:rPr>
      <w:t>August</w:t>
    </w:r>
    <w:r w:rsidR="006456BF" w:rsidRPr="003A0974">
      <w:rPr>
        <w:sz w:val="21"/>
        <w:szCs w:val="21"/>
      </w:rPr>
      <w:t xml:space="preserve"> </w:t>
    </w:r>
    <w:r w:rsidR="006456BF">
      <w:rPr>
        <w:sz w:val="21"/>
        <w:szCs w:val="21"/>
      </w:rPr>
      <w:t>2025</w:t>
    </w:r>
    <w:r w:rsidRPr="003A0974">
      <w:rPr>
        <w:sz w:val="21"/>
        <w:szCs w:val="21"/>
      </w:rPr>
      <w:br/>
    </w:r>
    <w:r>
      <w:rPr>
        <w:sz w:val="18"/>
        <w:szCs w:val="18"/>
      </w:rPr>
      <w:br/>
    </w:r>
    <w:r w:rsidRPr="003A0974">
      <w:rPr>
        <w:sz w:val="18"/>
        <w:szCs w:val="18"/>
      </w:rPr>
      <w:t>© The Macfarlane Burnet Institute for Medical Research and Public Health Ltd,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F3F5" w14:textId="46600B39" w:rsidR="00FE31AE" w:rsidRPr="004F1768" w:rsidRDefault="004F1768" w:rsidP="00552809">
    <w:pPr>
      <w:tabs>
        <w:tab w:val="left" w:pos="5529"/>
        <w:tab w:val="left" w:pos="8505"/>
      </w:tabs>
      <w:rPr>
        <w:sz w:val="21"/>
        <w:szCs w:val="21"/>
      </w:rPr>
    </w:pPr>
    <w:r w:rsidRPr="003A0974">
      <w:rPr>
        <w:sz w:val="21"/>
        <w:szCs w:val="21"/>
      </w:rPr>
      <w:t xml:space="preserve">Page </w:t>
    </w:r>
    <w:r w:rsidRPr="003A0974">
      <w:rPr>
        <w:sz w:val="21"/>
        <w:szCs w:val="21"/>
      </w:rPr>
      <w:fldChar w:fldCharType="begin"/>
    </w:r>
    <w:r w:rsidRPr="003A0974">
      <w:rPr>
        <w:sz w:val="21"/>
        <w:szCs w:val="21"/>
      </w:rPr>
      <w:instrText xml:space="preserve"> PAGE   \* MERGEFORMAT </w:instrText>
    </w:r>
    <w:r w:rsidRPr="003A0974">
      <w:rPr>
        <w:sz w:val="21"/>
        <w:szCs w:val="21"/>
      </w:rPr>
      <w:fldChar w:fldCharType="separate"/>
    </w:r>
    <w:r>
      <w:rPr>
        <w:sz w:val="21"/>
        <w:szCs w:val="21"/>
      </w:rPr>
      <w:t>2</w:t>
    </w:r>
    <w:r w:rsidRPr="003A0974">
      <w:rPr>
        <w:noProof/>
        <w:sz w:val="21"/>
        <w:szCs w:val="21"/>
      </w:rPr>
      <w:fldChar w:fldCharType="end"/>
    </w:r>
    <w:r w:rsidRPr="003A0974">
      <w:rPr>
        <w:noProof/>
        <w:sz w:val="21"/>
        <w:szCs w:val="21"/>
      </w:rPr>
      <w:t xml:space="preserve"> | </w:t>
    </w:r>
    <w:r w:rsidR="00552809" w:rsidRPr="00552809">
      <w:rPr>
        <w:sz w:val="21"/>
        <w:szCs w:val="21"/>
      </w:rPr>
      <w:t>Cost-effectiveness of a novel syphilis test:</w:t>
    </w:r>
    <w:r w:rsidR="00D76D53">
      <w:rPr>
        <w:sz w:val="21"/>
        <w:szCs w:val="21"/>
      </w:rPr>
      <w:t xml:space="preserve"> </w:t>
    </w:r>
    <w:r w:rsidR="00552809" w:rsidRPr="00552809">
      <w:rPr>
        <w:sz w:val="21"/>
        <w:szCs w:val="21"/>
      </w:rPr>
      <w:t>Full input parameters</w:t>
    </w:r>
    <w:r w:rsidR="00D76D53">
      <w:rPr>
        <w:sz w:val="21"/>
        <w:szCs w:val="21"/>
      </w:rPr>
      <w:t>,</w:t>
    </w:r>
    <w:r w:rsidR="00552809" w:rsidRPr="00552809">
      <w:rPr>
        <w:sz w:val="21"/>
        <w:szCs w:val="21"/>
      </w:rPr>
      <w:t xml:space="preserve"> and sensitivity analyses</w:t>
    </w:r>
    <w:r w:rsidR="00552809">
      <w:rPr>
        <w:sz w:val="21"/>
        <w:szCs w:val="21"/>
      </w:rPr>
      <w:t xml:space="preserve"> </w:t>
    </w:r>
    <w:r w:rsidR="00414B4A">
      <w:rPr>
        <w:sz w:val="21"/>
        <w:szCs w:val="21"/>
      </w:rPr>
      <w:t>26</w:t>
    </w:r>
    <w:r w:rsidRPr="003A0974">
      <w:rPr>
        <w:sz w:val="21"/>
        <w:szCs w:val="21"/>
      </w:rPr>
      <w:t xml:space="preserve"> </w:t>
    </w:r>
    <w:r w:rsidR="00414B4A">
      <w:rPr>
        <w:sz w:val="21"/>
        <w:szCs w:val="21"/>
      </w:rPr>
      <w:t>August</w:t>
    </w:r>
    <w:r w:rsidRPr="003A0974">
      <w:rPr>
        <w:sz w:val="21"/>
        <w:szCs w:val="21"/>
      </w:rPr>
      <w:t xml:space="preserve"> </w:t>
    </w:r>
    <w:r w:rsidR="00414B4A">
      <w:rPr>
        <w:sz w:val="21"/>
        <w:szCs w:val="21"/>
      </w:rPr>
      <w:t>2025</w:t>
    </w:r>
    <w:r w:rsidRPr="003A0974">
      <w:rPr>
        <w:sz w:val="21"/>
        <w:szCs w:val="21"/>
      </w:rPr>
      <w:br/>
    </w:r>
    <w:r>
      <w:rPr>
        <w:sz w:val="18"/>
        <w:szCs w:val="18"/>
      </w:rPr>
      <w:br/>
    </w:r>
    <w:r w:rsidRPr="003A0974">
      <w:rPr>
        <w:sz w:val="18"/>
        <w:szCs w:val="18"/>
      </w:rPr>
      <w:t>© The Macfarlane Burnet Institute for Medical Research and Public Health Ltd,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22C4" w14:textId="77777777" w:rsidR="00BE3C5F" w:rsidRDefault="00BE3C5F" w:rsidP="0068394D">
      <w:r>
        <w:separator/>
      </w:r>
    </w:p>
  </w:footnote>
  <w:footnote w:type="continuationSeparator" w:id="0">
    <w:p w14:paraId="609090F5" w14:textId="77777777" w:rsidR="00BE3C5F" w:rsidRDefault="00BE3C5F" w:rsidP="0068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C4C9" w14:textId="77777777" w:rsidR="00C72ACA" w:rsidRDefault="00ED1B82" w:rsidP="00866327">
    <w:pPr>
      <w:pStyle w:val="Header"/>
      <w:ind w:right="-568"/>
      <w:jc w:val="right"/>
    </w:pPr>
    <w:r>
      <w:rPr>
        <w:noProof/>
      </w:rPr>
      <w:drawing>
        <wp:inline distT="0" distB="0" distL="0" distR="0" wp14:anchorId="3562E63E" wp14:editId="2E27AC4B">
          <wp:extent cx="462988" cy="411454"/>
          <wp:effectExtent l="0" t="0" r="0" b="0"/>
          <wp:docPr id="7568708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87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V="1">
                    <a:off x="0" y="0"/>
                    <a:ext cx="517275" cy="4596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BDC2" w14:textId="77777777" w:rsidR="00BD1CF3" w:rsidRDefault="00BD1CF3" w:rsidP="00F1180E">
    <w:pPr>
      <w:pStyle w:val="Header"/>
      <w:ind w:left="-284"/>
    </w:pPr>
    <w:r>
      <w:rPr>
        <w:noProof/>
      </w:rPr>
      <w:drawing>
        <wp:inline distT="0" distB="0" distL="0" distR="0" wp14:anchorId="430995EF" wp14:editId="61C9BFBF">
          <wp:extent cx="1232733" cy="1376819"/>
          <wp:effectExtent l="0" t="0" r="0" b="0"/>
          <wp:docPr id="1249303111" name="Graphic 2" descr="Burnet reach for the 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03111" name="Graphic 2" descr="Burnet reach for the many"/>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32733" cy="1376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A white arrow pointing towards the camera&#10;&#10;&#10;&#10;&#10;&#10;&#10;&#10;&#10;&#10;&#10;&#10;&#10;&#10;&#10;&#10;&#10;&#10;&#10;&#10;&#10;&#10;Description automatically generated" style="width:45pt;height:57.2pt;visibility:visible" o:bullet="t">
        <v:imagedata r:id="rId1" o:title="A white arrow pointing towards the camera&#10;&#10;&#10;&#10;&#10;&#10;&#10;&#10;&#10;&#10;&#10;&#10;&#10;&#10;&#10;&#10;&#10;&#10;&#10;&#10;&#10;&#10;Description automatically generated"/>
      </v:shape>
    </w:pict>
  </w:numPicBullet>
  <w:abstractNum w:abstractNumId="0" w15:restartNumberingAfterBreak="0">
    <w:nsid w:val="0E0F18F8"/>
    <w:multiLevelType w:val="multilevel"/>
    <w:tmpl w:val="C5CCBD68"/>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EAC1320"/>
    <w:multiLevelType w:val="hybridMultilevel"/>
    <w:tmpl w:val="C24A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85A02"/>
    <w:multiLevelType w:val="hybridMultilevel"/>
    <w:tmpl w:val="8116B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B94703"/>
    <w:multiLevelType w:val="hybridMultilevel"/>
    <w:tmpl w:val="DFF2F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9C60913"/>
    <w:multiLevelType w:val="hybridMultilevel"/>
    <w:tmpl w:val="7E1A0D8C"/>
    <w:lvl w:ilvl="0" w:tplc="BE16C7B2">
      <w:start w:val="1"/>
      <w:numFmt w:val="bullet"/>
      <w:pStyle w:val="Bullet2"/>
      <w:lvlText w:val="­"/>
      <w:lvlJc w:val="left"/>
      <w:pPr>
        <w:ind w:left="1213" w:hanging="360"/>
      </w:pPr>
      <w:rPr>
        <w:rFonts w:ascii="Courier New" w:hAnsi="Courier New"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5" w15:restartNumberingAfterBreak="0">
    <w:nsid w:val="1ADF2269"/>
    <w:multiLevelType w:val="multilevel"/>
    <w:tmpl w:val="994EEB18"/>
    <w:lvl w:ilvl="0">
      <w:start w:val="1"/>
      <w:numFmt w:val="decimal"/>
      <w:lvlText w:val="%1."/>
      <w:lvlJc w:val="left"/>
      <w:pPr>
        <w:tabs>
          <w:tab w:val="num" w:pos="567"/>
        </w:tabs>
        <w:ind w:left="360" w:hanging="360"/>
      </w:pPr>
      <w:rPr>
        <w:rFonts w:hint="default"/>
      </w:rPr>
    </w:lvl>
    <w:lvl w:ilvl="1">
      <w:start w:val="1"/>
      <w:numFmt w:val="decimal"/>
      <w:lvlRestart w:val="0"/>
      <w:lvlText w:val="%1.%2"/>
      <w:lvlJc w:val="left"/>
      <w:pPr>
        <w:tabs>
          <w:tab w:val="num" w:pos="1077"/>
        </w:tabs>
        <w:ind w:left="792" w:hanging="225"/>
      </w:pPr>
      <w:rPr>
        <w:rFonts w:ascii="Arial" w:hAnsi="Arial" w:hint="default"/>
        <w:b w:val="0"/>
        <w:i w:val="0"/>
        <w:color w:val="00000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C4B0CFE"/>
    <w:multiLevelType w:val="hybridMultilevel"/>
    <w:tmpl w:val="2F1A5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DC3A83"/>
    <w:multiLevelType w:val="hybridMultilevel"/>
    <w:tmpl w:val="C654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630AE0"/>
    <w:multiLevelType w:val="multilevel"/>
    <w:tmpl w:val="C5CCBD68"/>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F1B4E3E"/>
    <w:multiLevelType w:val="multilevel"/>
    <w:tmpl w:val="C5CCBD6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D71E87"/>
    <w:multiLevelType w:val="hybridMultilevel"/>
    <w:tmpl w:val="7A00C26E"/>
    <w:lvl w:ilvl="0" w:tplc="D0F26F10">
      <w:start w:val="1"/>
      <w:numFmt w:val="bullet"/>
      <w:pStyle w:val="ListParagraph"/>
      <w:lvlText w:val=""/>
      <w:lvlJc w:val="left"/>
      <w:pPr>
        <w:ind w:left="720" w:hanging="360"/>
      </w:pPr>
      <w:rPr>
        <w:rFonts w:ascii="Symbol" w:hAnsi="Symbol" w:hint="default"/>
      </w:rPr>
    </w:lvl>
    <w:lvl w:ilvl="1" w:tplc="35FC5510">
      <w:start w:val="1"/>
      <w:numFmt w:val="bullet"/>
      <w:lvlText w:val="o"/>
      <w:lvlJc w:val="left"/>
      <w:pPr>
        <w:ind w:left="1440" w:hanging="360"/>
      </w:pPr>
      <w:rPr>
        <w:rFonts w:ascii="Courier New" w:hAnsi="Courier New" w:cs="Courier New" w:hint="default"/>
      </w:rPr>
    </w:lvl>
    <w:lvl w:ilvl="2" w:tplc="ABB49E16">
      <w:numFmt w:val="bullet"/>
      <w:lvlText w:val="–"/>
      <w:lvlJc w:val="left"/>
      <w:pPr>
        <w:ind w:left="2160" w:hanging="360"/>
      </w:pPr>
      <w:rPr>
        <w:rFonts w:ascii="Arial" w:eastAsia="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B62BD0"/>
    <w:multiLevelType w:val="multilevel"/>
    <w:tmpl w:val="8884D7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5A36D3D"/>
    <w:multiLevelType w:val="multilevel"/>
    <w:tmpl w:val="C5CCBD68"/>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FF145A8"/>
    <w:multiLevelType w:val="multilevel"/>
    <w:tmpl w:val="C5CCBD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0CE7202"/>
    <w:multiLevelType w:val="multilevel"/>
    <w:tmpl w:val="480456F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A5A13B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3661243">
    <w:abstractNumId w:val="11"/>
  </w:num>
  <w:num w:numId="2" w16cid:durableId="1588610561">
    <w:abstractNumId w:val="1"/>
  </w:num>
  <w:num w:numId="3" w16cid:durableId="2027243923">
    <w:abstractNumId w:val="5"/>
  </w:num>
  <w:num w:numId="4" w16cid:durableId="400368355">
    <w:abstractNumId w:val="6"/>
  </w:num>
  <w:num w:numId="5" w16cid:durableId="620722548">
    <w:abstractNumId w:val="3"/>
  </w:num>
  <w:num w:numId="6" w16cid:durableId="431510927">
    <w:abstractNumId w:val="2"/>
  </w:num>
  <w:num w:numId="7" w16cid:durableId="723914142">
    <w:abstractNumId w:val="7"/>
  </w:num>
  <w:num w:numId="8" w16cid:durableId="2029140596">
    <w:abstractNumId w:val="10"/>
  </w:num>
  <w:num w:numId="9" w16cid:durableId="1970744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0366">
    <w:abstractNumId w:val="13"/>
  </w:num>
  <w:num w:numId="11" w16cid:durableId="2025477744">
    <w:abstractNumId w:val="13"/>
  </w:num>
  <w:num w:numId="12" w16cid:durableId="1653876071">
    <w:abstractNumId w:val="13"/>
  </w:num>
  <w:num w:numId="13" w16cid:durableId="558977641">
    <w:abstractNumId w:val="13"/>
  </w:num>
  <w:num w:numId="14" w16cid:durableId="1280068056">
    <w:abstractNumId w:val="13"/>
  </w:num>
  <w:num w:numId="15" w16cid:durableId="527136915">
    <w:abstractNumId w:val="13"/>
  </w:num>
  <w:num w:numId="16" w16cid:durableId="1776093142">
    <w:abstractNumId w:val="13"/>
  </w:num>
  <w:num w:numId="17" w16cid:durableId="1477142169">
    <w:abstractNumId w:val="13"/>
  </w:num>
  <w:num w:numId="18" w16cid:durableId="551772892">
    <w:abstractNumId w:val="14"/>
  </w:num>
  <w:num w:numId="19" w16cid:durableId="1381172377">
    <w:abstractNumId w:val="4"/>
  </w:num>
  <w:num w:numId="20" w16cid:durableId="1567957027">
    <w:abstractNumId w:val="9"/>
  </w:num>
  <w:num w:numId="21" w16cid:durableId="1727875945">
    <w:abstractNumId w:val="8"/>
  </w:num>
  <w:num w:numId="22" w16cid:durableId="129396500">
    <w:abstractNumId w:val="0"/>
  </w:num>
  <w:num w:numId="23" w16cid:durableId="1571115579">
    <w:abstractNumId w:val="15"/>
  </w:num>
  <w:num w:numId="24" w16cid:durableId="181894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vwzvaen5rp2fe9w2sxep0rvfwfesxa9z9r&quot;&gt;Poster references&lt;record-ids&gt;&lt;item&gt;10&lt;/item&gt;&lt;item&gt;11&lt;/item&gt;&lt;item&gt;12&lt;/item&gt;&lt;item&gt;13&lt;/item&gt;&lt;item&gt;14&lt;/item&gt;&lt;item&gt;69&lt;/item&gt;&lt;item&gt;105&lt;/item&gt;&lt;item&gt;115&lt;/item&gt;&lt;item&gt;116&lt;/item&gt;&lt;item&gt;117&lt;/item&gt;&lt;item&gt;118&lt;/item&gt;&lt;/record-ids&gt;&lt;/item&gt;&lt;/Libraries&gt;"/>
  </w:docVars>
  <w:rsids>
    <w:rsidRoot w:val="000F1A89"/>
    <w:rsid w:val="0000406B"/>
    <w:rsid w:val="000061A9"/>
    <w:rsid w:val="000065B1"/>
    <w:rsid w:val="00006BF0"/>
    <w:rsid w:val="00010878"/>
    <w:rsid w:val="000146F3"/>
    <w:rsid w:val="00020503"/>
    <w:rsid w:val="00021C47"/>
    <w:rsid w:val="0002614B"/>
    <w:rsid w:val="00030BB9"/>
    <w:rsid w:val="000322E6"/>
    <w:rsid w:val="00034BB3"/>
    <w:rsid w:val="00042090"/>
    <w:rsid w:val="00042AFD"/>
    <w:rsid w:val="00056279"/>
    <w:rsid w:val="00057517"/>
    <w:rsid w:val="00062321"/>
    <w:rsid w:val="00064E29"/>
    <w:rsid w:val="00067DA3"/>
    <w:rsid w:val="00075935"/>
    <w:rsid w:val="00080696"/>
    <w:rsid w:val="00082331"/>
    <w:rsid w:val="00082C93"/>
    <w:rsid w:val="00086EFA"/>
    <w:rsid w:val="00090368"/>
    <w:rsid w:val="00093DBA"/>
    <w:rsid w:val="000942C5"/>
    <w:rsid w:val="00094F93"/>
    <w:rsid w:val="000A0F0A"/>
    <w:rsid w:val="000A5ECB"/>
    <w:rsid w:val="000B1C97"/>
    <w:rsid w:val="000B6CC1"/>
    <w:rsid w:val="000B7F68"/>
    <w:rsid w:val="000C04D5"/>
    <w:rsid w:val="000C336F"/>
    <w:rsid w:val="000D1DEA"/>
    <w:rsid w:val="000D411F"/>
    <w:rsid w:val="000D67CA"/>
    <w:rsid w:val="000D6DDB"/>
    <w:rsid w:val="000E329F"/>
    <w:rsid w:val="000E40A6"/>
    <w:rsid w:val="000E50B9"/>
    <w:rsid w:val="000E69A6"/>
    <w:rsid w:val="000F1A89"/>
    <w:rsid w:val="0010136C"/>
    <w:rsid w:val="001055B2"/>
    <w:rsid w:val="001111C7"/>
    <w:rsid w:val="00113608"/>
    <w:rsid w:val="001141E4"/>
    <w:rsid w:val="001201B8"/>
    <w:rsid w:val="001202E2"/>
    <w:rsid w:val="001206DF"/>
    <w:rsid w:val="001242E9"/>
    <w:rsid w:val="001348E8"/>
    <w:rsid w:val="00136EA4"/>
    <w:rsid w:val="00141919"/>
    <w:rsid w:val="0014265D"/>
    <w:rsid w:val="001464DF"/>
    <w:rsid w:val="001503FB"/>
    <w:rsid w:val="00150484"/>
    <w:rsid w:val="00151BF3"/>
    <w:rsid w:val="00153419"/>
    <w:rsid w:val="00155983"/>
    <w:rsid w:val="00163042"/>
    <w:rsid w:val="00167BE4"/>
    <w:rsid w:val="00167DCD"/>
    <w:rsid w:val="001704AA"/>
    <w:rsid w:val="00171932"/>
    <w:rsid w:val="0017542F"/>
    <w:rsid w:val="00175729"/>
    <w:rsid w:val="00176CD7"/>
    <w:rsid w:val="0018337A"/>
    <w:rsid w:val="00183723"/>
    <w:rsid w:val="0018474C"/>
    <w:rsid w:val="00190DB6"/>
    <w:rsid w:val="001949D8"/>
    <w:rsid w:val="00194D1B"/>
    <w:rsid w:val="00194F87"/>
    <w:rsid w:val="0019712E"/>
    <w:rsid w:val="001A1B9F"/>
    <w:rsid w:val="001A2C8B"/>
    <w:rsid w:val="001A7A78"/>
    <w:rsid w:val="001B1B99"/>
    <w:rsid w:val="001B1D73"/>
    <w:rsid w:val="001B4002"/>
    <w:rsid w:val="001B613E"/>
    <w:rsid w:val="001B647B"/>
    <w:rsid w:val="001B7995"/>
    <w:rsid w:val="001C4398"/>
    <w:rsid w:val="001C5E5F"/>
    <w:rsid w:val="001D0DEC"/>
    <w:rsid w:val="001D1132"/>
    <w:rsid w:val="001D4285"/>
    <w:rsid w:val="001D50B5"/>
    <w:rsid w:val="001D5133"/>
    <w:rsid w:val="001D71FB"/>
    <w:rsid w:val="001E11A8"/>
    <w:rsid w:val="001E1591"/>
    <w:rsid w:val="001E7FE5"/>
    <w:rsid w:val="001F09FA"/>
    <w:rsid w:val="001F0C09"/>
    <w:rsid w:val="001F1A7D"/>
    <w:rsid w:val="001F7CE4"/>
    <w:rsid w:val="002068FC"/>
    <w:rsid w:val="00211D45"/>
    <w:rsid w:val="002120A2"/>
    <w:rsid w:val="00212D9B"/>
    <w:rsid w:val="00221FCF"/>
    <w:rsid w:val="00223F54"/>
    <w:rsid w:val="002243A3"/>
    <w:rsid w:val="00224E48"/>
    <w:rsid w:val="00225E1A"/>
    <w:rsid w:val="00225E49"/>
    <w:rsid w:val="002334F3"/>
    <w:rsid w:val="00237451"/>
    <w:rsid w:val="00237900"/>
    <w:rsid w:val="00241E2D"/>
    <w:rsid w:val="00245ADC"/>
    <w:rsid w:val="002600DC"/>
    <w:rsid w:val="00264064"/>
    <w:rsid w:val="00267FFA"/>
    <w:rsid w:val="002709BA"/>
    <w:rsid w:val="00271092"/>
    <w:rsid w:val="002748FF"/>
    <w:rsid w:val="002751EC"/>
    <w:rsid w:val="0028003C"/>
    <w:rsid w:val="0028049F"/>
    <w:rsid w:val="002827DE"/>
    <w:rsid w:val="00290C58"/>
    <w:rsid w:val="00290E96"/>
    <w:rsid w:val="002A03FC"/>
    <w:rsid w:val="002A22CB"/>
    <w:rsid w:val="002A27BE"/>
    <w:rsid w:val="002B06D1"/>
    <w:rsid w:val="002B454E"/>
    <w:rsid w:val="002C2A72"/>
    <w:rsid w:val="002C4940"/>
    <w:rsid w:val="002D513A"/>
    <w:rsid w:val="002E0EF3"/>
    <w:rsid w:val="002E51B5"/>
    <w:rsid w:val="002E547D"/>
    <w:rsid w:val="002E6831"/>
    <w:rsid w:val="002E778F"/>
    <w:rsid w:val="002F38F5"/>
    <w:rsid w:val="002F4FD2"/>
    <w:rsid w:val="003017AB"/>
    <w:rsid w:val="00302B37"/>
    <w:rsid w:val="00302F62"/>
    <w:rsid w:val="003048ED"/>
    <w:rsid w:val="00304F31"/>
    <w:rsid w:val="00310281"/>
    <w:rsid w:val="0031084A"/>
    <w:rsid w:val="00312B15"/>
    <w:rsid w:val="00314439"/>
    <w:rsid w:val="0033034D"/>
    <w:rsid w:val="00331C9C"/>
    <w:rsid w:val="003328FE"/>
    <w:rsid w:val="003330A5"/>
    <w:rsid w:val="0033378C"/>
    <w:rsid w:val="00335CEA"/>
    <w:rsid w:val="003372FF"/>
    <w:rsid w:val="00340037"/>
    <w:rsid w:val="00340C5E"/>
    <w:rsid w:val="00341248"/>
    <w:rsid w:val="00347E02"/>
    <w:rsid w:val="0035278E"/>
    <w:rsid w:val="00354F15"/>
    <w:rsid w:val="0035702F"/>
    <w:rsid w:val="00357716"/>
    <w:rsid w:val="00363046"/>
    <w:rsid w:val="00363CCA"/>
    <w:rsid w:val="00371B60"/>
    <w:rsid w:val="003725B7"/>
    <w:rsid w:val="00376593"/>
    <w:rsid w:val="0039282B"/>
    <w:rsid w:val="00392FD4"/>
    <w:rsid w:val="003A4E7B"/>
    <w:rsid w:val="003B1569"/>
    <w:rsid w:val="003B287E"/>
    <w:rsid w:val="003B55F4"/>
    <w:rsid w:val="003B5E4B"/>
    <w:rsid w:val="003C0E76"/>
    <w:rsid w:val="003C1749"/>
    <w:rsid w:val="003C2839"/>
    <w:rsid w:val="003D2208"/>
    <w:rsid w:val="003D46DC"/>
    <w:rsid w:val="003D7FB2"/>
    <w:rsid w:val="003F7BBE"/>
    <w:rsid w:val="00400C42"/>
    <w:rsid w:val="00401B65"/>
    <w:rsid w:val="0040233D"/>
    <w:rsid w:val="00403CAB"/>
    <w:rsid w:val="00405515"/>
    <w:rsid w:val="00414B4A"/>
    <w:rsid w:val="00421268"/>
    <w:rsid w:val="00424304"/>
    <w:rsid w:val="00441B96"/>
    <w:rsid w:val="00444512"/>
    <w:rsid w:val="00445AC2"/>
    <w:rsid w:val="00446B60"/>
    <w:rsid w:val="0045231B"/>
    <w:rsid w:val="00452580"/>
    <w:rsid w:val="00453F8A"/>
    <w:rsid w:val="00456C7E"/>
    <w:rsid w:val="00456DA8"/>
    <w:rsid w:val="0046055A"/>
    <w:rsid w:val="00460FCE"/>
    <w:rsid w:val="00461028"/>
    <w:rsid w:val="00466FF3"/>
    <w:rsid w:val="00467DD4"/>
    <w:rsid w:val="00471669"/>
    <w:rsid w:val="004817A8"/>
    <w:rsid w:val="004835E8"/>
    <w:rsid w:val="00491A41"/>
    <w:rsid w:val="00491C87"/>
    <w:rsid w:val="0049318A"/>
    <w:rsid w:val="004A0971"/>
    <w:rsid w:val="004A5EA5"/>
    <w:rsid w:val="004A64AA"/>
    <w:rsid w:val="004A77FC"/>
    <w:rsid w:val="004B3067"/>
    <w:rsid w:val="004B5498"/>
    <w:rsid w:val="004B5CF0"/>
    <w:rsid w:val="004C0852"/>
    <w:rsid w:val="004C09E2"/>
    <w:rsid w:val="004C1DBF"/>
    <w:rsid w:val="004C1E27"/>
    <w:rsid w:val="004C5E75"/>
    <w:rsid w:val="004D0AA1"/>
    <w:rsid w:val="004D7E2B"/>
    <w:rsid w:val="004E0D44"/>
    <w:rsid w:val="004E2A36"/>
    <w:rsid w:val="004E6761"/>
    <w:rsid w:val="004E6991"/>
    <w:rsid w:val="004F0EA4"/>
    <w:rsid w:val="004F1768"/>
    <w:rsid w:val="004F2E08"/>
    <w:rsid w:val="004F5951"/>
    <w:rsid w:val="004F7D8C"/>
    <w:rsid w:val="00507B2C"/>
    <w:rsid w:val="00511BF2"/>
    <w:rsid w:val="00514023"/>
    <w:rsid w:val="00516353"/>
    <w:rsid w:val="005200D0"/>
    <w:rsid w:val="00522E0D"/>
    <w:rsid w:val="00524926"/>
    <w:rsid w:val="00530A8F"/>
    <w:rsid w:val="00531BD1"/>
    <w:rsid w:val="00535092"/>
    <w:rsid w:val="00552809"/>
    <w:rsid w:val="00552D48"/>
    <w:rsid w:val="00554B5C"/>
    <w:rsid w:val="00556235"/>
    <w:rsid w:val="00556562"/>
    <w:rsid w:val="0056452D"/>
    <w:rsid w:val="00570076"/>
    <w:rsid w:val="00573265"/>
    <w:rsid w:val="00577BAF"/>
    <w:rsid w:val="00583A0B"/>
    <w:rsid w:val="00583A40"/>
    <w:rsid w:val="00583BD6"/>
    <w:rsid w:val="00593FE6"/>
    <w:rsid w:val="005974D2"/>
    <w:rsid w:val="005A15B0"/>
    <w:rsid w:val="005A37FE"/>
    <w:rsid w:val="005B1F15"/>
    <w:rsid w:val="005B2740"/>
    <w:rsid w:val="005D1A3C"/>
    <w:rsid w:val="005D1BAB"/>
    <w:rsid w:val="005E566B"/>
    <w:rsid w:val="005E7343"/>
    <w:rsid w:val="005F18F3"/>
    <w:rsid w:val="005F1A97"/>
    <w:rsid w:val="005F30A9"/>
    <w:rsid w:val="005F349B"/>
    <w:rsid w:val="00603D47"/>
    <w:rsid w:val="00605AB1"/>
    <w:rsid w:val="00606730"/>
    <w:rsid w:val="00615BE3"/>
    <w:rsid w:val="006254BC"/>
    <w:rsid w:val="00630521"/>
    <w:rsid w:val="00637D37"/>
    <w:rsid w:val="0064133A"/>
    <w:rsid w:val="006456BF"/>
    <w:rsid w:val="006546F5"/>
    <w:rsid w:val="00654BAA"/>
    <w:rsid w:val="006553E3"/>
    <w:rsid w:val="00660337"/>
    <w:rsid w:val="006615AC"/>
    <w:rsid w:val="00665FC0"/>
    <w:rsid w:val="006666C3"/>
    <w:rsid w:val="006703B3"/>
    <w:rsid w:val="00672901"/>
    <w:rsid w:val="00672958"/>
    <w:rsid w:val="006745CD"/>
    <w:rsid w:val="006776E0"/>
    <w:rsid w:val="00681C1A"/>
    <w:rsid w:val="00682758"/>
    <w:rsid w:val="0068394D"/>
    <w:rsid w:val="00693582"/>
    <w:rsid w:val="00695E0C"/>
    <w:rsid w:val="006978BD"/>
    <w:rsid w:val="006A0FE2"/>
    <w:rsid w:val="006A223F"/>
    <w:rsid w:val="006A3719"/>
    <w:rsid w:val="006A4045"/>
    <w:rsid w:val="006A481F"/>
    <w:rsid w:val="006B2F63"/>
    <w:rsid w:val="006C006A"/>
    <w:rsid w:val="006C163B"/>
    <w:rsid w:val="006C65D3"/>
    <w:rsid w:val="006D435E"/>
    <w:rsid w:val="006E0339"/>
    <w:rsid w:val="006E0C6A"/>
    <w:rsid w:val="006E1099"/>
    <w:rsid w:val="006E1671"/>
    <w:rsid w:val="006E1BA5"/>
    <w:rsid w:val="006E2546"/>
    <w:rsid w:val="006E45DE"/>
    <w:rsid w:val="006E5433"/>
    <w:rsid w:val="006E7B7F"/>
    <w:rsid w:val="006F1A8D"/>
    <w:rsid w:val="006F2662"/>
    <w:rsid w:val="00700DED"/>
    <w:rsid w:val="00702E84"/>
    <w:rsid w:val="0071425B"/>
    <w:rsid w:val="00714F2E"/>
    <w:rsid w:val="00717434"/>
    <w:rsid w:val="00717871"/>
    <w:rsid w:val="0072323F"/>
    <w:rsid w:val="00730255"/>
    <w:rsid w:val="007319A9"/>
    <w:rsid w:val="00735E9C"/>
    <w:rsid w:val="00737A3F"/>
    <w:rsid w:val="00740B98"/>
    <w:rsid w:val="00741EB8"/>
    <w:rsid w:val="00742314"/>
    <w:rsid w:val="007428D6"/>
    <w:rsid w:val="007442BD"/>
    <w:rsid w:val="00745775"/>
    <w:rsid w:val="00746641"/>
    <w:rsid w:val="00747122"/>
    <w:rsid w:val="00747DCF"/>
    <w:rsid w:val="00750A88"/>
    <w:rsid w:val="00754109"/>
    <w:rsid w:val="0075531C"/>
    <w:rsid w:val="00760E46"/>
    <w:rsid w:val="007641B9"/>
    <w:rsid w:val="00765DB2"/>
    <w:rsid w:val="00767143"/>
    <w:rsid w:val="00771497"/>
    <w:rsid w:val="00773BD7"/>
    <w:rsid w:val="007762CA"/>
    <w:rsid w:val="007801E9"/>
    <w:rsid w:val="0078383C"/>
    <w:rsid w:val="00783B1A"/>
    <w:rsid w:val="007900A8"/>
    <w:rsid w:val="007903BF"/>
    <w:rsid w:val="00790C32"/>
    <w:rsid w:val="00792574"/>
    <w:rsid w:val="00794495"/>
    <w:rsid w:val="007A6504"/>
    <w:rsid w:val="007B132A"/>
    <w:rsid w:val="007B6F3B"/>
    <w:rsid w:val="007C274B"/>
    <w:rsid w:val="007C639C"/>
    <w:rsid w:val="007C7942"/>
    <w:rsid w:val="007D36A8"/>
    <w:rsid w:val="007D523B"/>
    <w:rsid w:val="007E192B"/>
    <w:rsid w:val="007E415E"/>
    <w:rsid w:val="007E77C9"/>
    <w:rsid w:val="007E7BE8"/>
    <w:rsid w:val="007F028D"/>
    <w:rsid w:val="007F24AF"/>
    <w:rsid w:val="007F29DB"/>
    <w:rsid w:val="00803AA2"/>
    <w:rsid w:val="00811651"/>
    <w:rsid w:val="00813F6E"/>
    <w:rsid w:val="008148F7"/>
    <w:rsid w:val="00817ECC"/>
    <w:rsid w:val="00817FD6"/>
    <w:rsid w:val="008205B3"/>
    <w:rsid w:val="00822D63"/>
    <w:rsid w:val="008234A5"/>
    <w:rsid w:val="00831F0E"/>
    <w:rsid w:val="00834F3B"/>
    <w:rsid w:val="00841AAC"/>
    <w:rsid w:val="008436E2"/>
    <w:rsid w:val="00850DDD"/>
    <w:rsid w:val="008558F8"/>
    <w:rsid w:val="00861961"/>
    <w:rsid w:val="00865C3F"/>
    <w:rsid w:val="00866327"/>
    <w:rsid w:val="008709B3"/>
    <w:rsid w:val="00873AFE"/>
    <w:rsid w:val="00874ACD"/>
    <w:rsid w:val="00877F16"/>
    <w:rsid w:val="008842B4"/>
    <w:rsid w:val="008900AE"/>
    <w:rsid w:val="00896525"/>
    <w:rsid w:val="0089770B"/>
    <w:rsid w:val="008A2373"/>
    <w:rsid w:val="008A6BE4"/>
    <w:rsid w:val="008A6D16"/>
    <w:rsid w:val="008A7DBE"/>
    <w:rsid w:val="008B575B"/>
    <w:rsid w:val="008B5DBA"/>
    <w:rsid w:val="008C1C9B"/>
    <w:rsid w:val="008C3208"/>
    <w:rsid w:val="008D072D"/>
    <w:rsid w:val="008D34D8"/>
    <w:rsid w:val="008D6CD3"/>
    <w:rsid w:val="008E335B"/>
    <w:rsid w:val="008E35E1"/>
    <w:rsid w:val="008E454B"/>
    <w:rsid w:val="008F03DB"/>
    <w:rsid w:val="008F1939"/>
    <w:rsid w:val="008F2031"/>
    <w:rsid w:val="008F4FD3"/>
    <w:rsid w:val="008F5226"/>
    <w:rsid w:val="008F52C6"/>
    <w:rsid w:val="00913B68"/>
    <w:rsid w:val="00915ABB"/>
    <w:rsid w:val="0092015F"/>
    <w:rsid w:val="00920F8E"/>
    <w:rsid w:val="00921A9E"/>
    <w:rsid w:val="00923EAB"/>
    <w:rsid w:val="009266EA"/>
    <w:rsid w:val="00926747"/>
    <w:rsid w:val="009360D7"/>
    <w:rsid w:val="00941073"/>
    <w:rsid w:val="00943BD7"/>
    <w:rsid w:val="009477DF"/>
    <w:rsid w:val="00951F00"/>
    <w:rsid w:val="00963869"/>
    <w:rsid w:val="009651A3"/>
    <w:rsid w:val="00992B17"/>
    <w:rsid w:val="00993ED1"/>
    <w:rsid w:val="00996942"/>
    <w:rsid w:val="0099710D"/>
    <w:rsid w:val="009A0531"/>
    <w:rsid w:val="009A4D2F"/>
    <w:rsid w:val="009B03A6"/>
    <w:rsid w:val="009C0504"/>
    <w:rsid w:val="009C43C2"/>
    <w:rsid w:val="009C49A6"/>
    <w:rsid w:val="009C5547"/>
    <w:rsid w:val="009C5568"/>
    <w:rsid w:val="009C5FF8"/>
    <w:rsid w:val="009C682A"/>
    <w:rsid w:val="009C7788"/>
    <w:rsid w:val="009D0BF4"/>
    <w:rsid w:val="009D3B9E"/>
    <w:rsid w:val="009E0FF0"/>
    <w:rsid w:val="009E241A"/>
    <w:rsid w:val="009F6C0B"/>
    <w:rsid w:val="009F722F"/>
    <w:rsid w:val="00A04F51"/>
    <w:rsid w:val="00A0596A"/>
    <w:rsid w:val="00A111E7"/>
    <w:rsid w:val="00A120D2"/>
    <w:rsid w:val="00A12958"/>
    <w:rsid w:val="00A17C11"/>
    <w:rsid w:val="00A22C25"/>
    <w:rsid w:val="00A243EE"/>
    <w:rsid w:val="00A2795C"/>
    <w:rsid w:val="00A30F02"/>
    <w:rsid w:val="00A310A1"/>
    <w:rsid w:val="00A3145F"/>
    <w:rsid w:val="00A34B59"/>
    <w:rsid w:val="00A34F9F"/>
    <w:rsid w:val="00A36C00"/>
    <w:rsid w:val="00A37934"/>
    <w:rsid w:val="00A44B02"/>
    <w:rsid w:val="00A469CB"/>
    <w:rsid w:val="00A51B8C"/>
    <w:rsid w:val="00A5251F"/>
    <w:rsid w:val="00A5455F"/>
    <w:rsid w:val="00A5654A"/>
    <w:rsid w:val="00A61875"/>
    <w:rsid w:val="00A65490"/>
    <w:rsid w:val="00A72B45"/>
    <w:rsid w:val="00A76D4B"/>
    <w:rsid w:val="00A84409"/>
    <w:rsid w:val="00A86793"/>
    <w:rsid w:val="00A958CA"/>
    <w:rsid w:val="00A963DF"/>
    <w:rsid w:val="00A974F5"/>
    <w:rsid w:val="00AA031F"/>
    <w:rsid w:val="00AA07A2"/>
    <w:rsid w:val="00AA0C0B"/>
    <w:rsid w:val="00AA78E7"/>
    <w:rsid w:val="00AB1575"/>
    <w:rsid w:val="00AB162A"/>
    <w:rsid w:val="00AB18F6"/>
    <w:rsid w:val="00AC1A78"/>
    <w:rsid w:val="00AC6006"/>
    <w:rsid w:val="00AD17D1"/>
    <w:rsid w:val="00AE4FB3"/>
    <w:rsid w:val="00B00CD7"/>
    <w:rsid w:val="00B024B8"/>
    <w:rsid w:val="00B26EA0"/>
    <w:rsid w:val="00B310CF"/>
    <w:rsid w:val="00B409AE"/>
    <w:rsid w:val="00B45AD5"/>
    <w:rsid w:val="00B65E45"/>
    <w:rsid w:val="00B667B9"/>
    <w:rsid w:val="00B67F54"/>
    <w:rsid w:val="00B72E8F"/>
    <w:rsid w:val="00B77F69"/>
    <w:rsid w:val="00B80F20"/>
    <w:rsid w:val="00B828B5"/>
    <w:rsid w:val="00B87913"/>
    <w:rsid w:val="00B91242"/>
    <w:rsid w:val="00B950B3"/>
    <w:rsid w:val="00B96157"/>
    <w:rsid w:val="00B961E7"/>
    <w:rsid w:val="00BA1B88"/>
    <w:rsid w:val="00BA2E57"/>
    <w:rsid w:val="00BB3E59"/>
    <w:rsid w:val="00BB4A3C"/>
    <w:rsid w:val="00BC0072"/>
    <w:rsid w:val="00BC1833"/>
    <w:rsid w:val="00BC210B"/>
    <w:rsid w:val="00BC2C77"/>
    <w:rsid w:val="00BC498B"/>
    <w:rsid w:val="00BD1CF3"/>
    <w:rsid w:val="00BD2508"/>
    <w:rsid w:val="00BE0A18"/>
    <w:rsid w:val="00BE3C5F"/>
    <w:rsid w:val="00BF1F38"/>
    <w:rsid w:val="00BF3B8F"/>
    <w:rsid w:val="00C01E34"/>
    <w:rsid w:val="00C043B6"/>
    <w:rsid w:val="00C06F15"/>
    <w:rsid w:val="00C10EB6"/>
    <w:rsid w:val="00C12BF7"/>
    <w:rsid w:val="00C12C76"/>
    <w:rsid w:val="00C14966"/>
    <w:rsid w:val="00C2034F"/>
    <w:rsid w:val="00C21364"/>
    <w:rsid w:val="00C24697"/>
    <w:rsid w:val="00C3079E"/>
    <w:rsid w:val="00C36C21"/>
    <w:rsid w:val="00C371EC"/>
    <w:rsid w:val="00C40F57"/>
    <w:rsid w:val="00C456F6"/>
    <w:rsid w:val="00C462FD"/>
    <w:rsid w:val="00C47B5B"/>
    <w:rsid w:val="00C51323"/>
    <w:rsid w:val="00C531EE"/>
    <w:rsid w:val="00C60366"/>
    <w:rsid w:val="00C60706"/>
    <w:rsid w:val="00C70AA7"/>
    <w:rsid w:val="00C72ACA"/>
    <w:rsid w:val="00C81914"/>
    <w:rsid w:val="00C81E68"/>
    <w:rsid w:val="00C83E02"/>
    <w:rsid w:val="00C86B39"/>
    <w:rsid w:val="00C95F53"/>
    <w:rsid w:val="00CA4EF6"/>
    <w:rsid w:val="00CB0571"/>
    <w:rsid w:val="00CB2C6B"/>
    <w:rsid w:val="00CC36BE"/>
    <w:rsid w:val="00CC3F08"/>
    <w:rsid w:val="00CD0ADB"/>
    <w:rsid w:val="00CD1B5D"/>
    <w:rsid w:val="00CD2DBF"/>
    <w:rsid w:val="00CD2E0D"/>
    <w:rsid w:val="00CD612F"/>
    <w:rsid w:val="00CD6A25"/>
    <w:rsid w:val="00CD7E6A"/>
    <w:rsid w:val="00CE055E"/>
    <w:rsid w:val="00CE2F03"/>
    <w:rsid w:val="00CE31B9"/>
    <w:rsid w:val="00CE449B"/>
    <w:rsid w:val="00CE4B88"/>
    <w:rsid w:val="00CE64C1"/>
    <w:rsid w:val="00CF3BC1"/>
    <w:rsid w:val="00CF3D29"/>
    <w:rsid w:val="00CF6CA8"/>
    <w:rsid w:val="00CF7DF2"/>
    <w:rsid w:val="00D00D65"/>
    <w:rsid w:val="00D05D47"/>
    <w:rsid w:val="00D23871"/>
    <w:rsid w:val="00D27596"/>
    <w:rsid w:val="00D31F3C"/>
    <w:rsid w:val="00D35174"/>
    <w:rsid w:val="00D40DFF"/>
    <w:rsid w:val="00D5154F"/>
    <w:rsid w:val="00D57F9C"/>
    <w:rsid w:val="00D60A4B"/>
    <w:rsid w:val="00D66150"/>
    <w:rsid w:val="00D74F79"/>
    <w:rsid w:val="00D7523F"/>
    <w:rsid w:val="00D75728"/>
    <w:rsid w:val="00D76D53"/>
    <w:rsid w:val="00D80FB4"/>
    <w:rsid w:val="00D85422"/>
    <w:rsid w:val="00D865F2"/>
    <w:rsid w:val="00D870F6"/>
    <w:rsid w:val="00D92DA2"/>
    <w:rsid w:val="00D95143"/>
    <w:rsid w:val="00D95AD7"/>
    <w:rsid w:val="00D9640A"/>
    <w:rsid w:val="00DA12C5"/>
    <w:rsid w:val="00DA144D"/>
    <w:rsid w:val="00DA3A91"/>
    <w:rsid w:val="00DA4C01"/>
    <w:rsid w:val="00DA7FAB"/>
    <w:rsid w:val="00DB26EB"/>
    <w:rsid w:val="00DB3097"/>
    <w:rsid w:val="00DB4474"/>
    <w:rsid w:val="00DB4C76"/>
    <w:rsid w:val="00DB514A"/>
    <w:rsid w:val="00DB7D37"/>
    <w:rsid w:val="00DB7FA7"/>
    <w:rsid w:val="00DC06D6"/>
    <w:rsid w:val="00DC26ED"/>
    <w:rsid w:val="00DC2D95"/>
    <w:rsid w:val="00DD3D88"/>
    <w:rsid w:val="00DE430B"/>
    <w:rsid w:val="00DE43B5"/>
    <w:rsid w:val="00DE6213"/>
    <w:rsid w:val="00DE6B9C"/>
    <w:rsid w:val="00DF0D02"/>
    <w:rsid w:val="00DF16C9"/>
    <w:rsid w:val="00DF3510"/>
    <w:rsid w:val="00DF75AC"/>
    <w:rsid w:val="00E00B71"/>
    <w:rsid w:val="00E03DDF"/>
    <w:rsid w:val="00E04D2A"/>
    <w:rsid w:val="00E0567A"/>
    <w:rsid w:val="00E1182C"/>
    <w:rsid w:val="00E11EC2"/>
    <w:rsid w:val="00E1438D"/>
    <w:rsid w:val="00E3485E"/>
    <w:rsid w:val="00E42C5C"/>
    <w:rsid w:val="00E45CF6"/>
    <w:rsid w:val="00E46FE7"/>
    <w:rsid w:val="00E47A59"/>
    <w:rsid w:val="00E5035F"/>
    <w:rsid w:val="00E54518"/>
    <w:rsid w:val="00E55CF0"/>
    <w:rsid w:val="00E60C2D"/>
    <w:rsid w:val="00E62D58"/>
    <w:rsid w:val="00E63EB1"/>
    <w:rsid w:val="00E64E18"/>
    <w:rsid w:val="00E6514F"/>
    <w:rsid w:val="00E716E2"/>
    <w:rsid w:val="00E8042A"/>
    <w:rsid w:val="00E854FA"/>
    <w:rsid w:val="00E87D5C"/>
    <w:rsid w:val="00E87F8F"/>
    <w:rsid w:val="00E90C0F"/>
    <w:rsid w:val="00E92170"/>
    <w:rsid w:val="00EA1360"/>
    <w:rsid w:val="00EA1D65"/>
    <w:rsid w:val="00EA65EC"/>
    <w:rsid w:val="00EB70D8"/>
    <w:rsid w:val="00EB7603"/>
    <w:rsid w:val="00EC00CA"/>
    <w:rsid w:val="00EC3CEB"/>
    <w:rsid w:val="00EC426E"/>
    <w:rsid w:val="00ED1B82"/>
    <w:rsid w:val="00ED4594"/>
    <w:rsid w:val="00ED5E72"/>
    <w:rsid w:val="00ED7060"/>
    <w:rsid w:val="00EE154A"/>
    <w:rsid w:val="00EE50F6"/>
    <w:rsid w:val="00EE56BB"/>
    <w:rsid w:val="00EE76B1"/>
    <w:rsid w:val="00EF1611"/>
    <w:rsid w:val="00EF16E6"/>
    <w:rsid w:val="00F02D06"/>
    <w:rsid w:val="00F1180E"/>
    <w:rsid w:val="00F1540D"/>
    <w:rsid w:val="00F20F8A"/>
    <w:rsid w:val="00F215A4"/>
    <w:rsid w:val="00F220F1"/>
    <w:rsid w:val="00F25AE8"/>
    <w:rsid w:val="00F260CC"/>
    <w:rsid w:val="00F266EA"/>
    <w:rsid w:val="00F35AEE"/>
    <w:rsid w:val="00F44A9B"/>
    <w:rsid w:val="00F4743F"/>
    <w:rsid w:val="00F52E3B"/>
    <w:rsid w:val="00F5467B"/>
    <w:rsid w:val="00F55B4E"/>
    <w:rsid w:val="00F66DC2"/>
    <w:rsid w:val="00F81211"/>
    <w:rsid w:val="00F84DF7"/>
    <w:rsid w:val="00F86757"/>
    <w:rsid w:val="00F86CEE"/>
    <w:rsid w:val="00F9115B"/>
    <w:rsid w:val="00F94608"/>
    <w:rsid w:val="00F9649D"/>
    <w:rsid w:val="00F96D5B"/>
    <w:rsid w:val="00FA263E"/>
    <w:rsid w:val="00FA36B0"/>
    <w:rsid w:val="00FA4623"/>
    <w:rsid w:val="00FA528A"/>
    <w:rsid w:val="00FA6B16"/>
    <w:rsid w:val="00FB1DE9"/>
    <w:rsid w:val="00FC0DA0"/>
    <w:rsid w:val="00FC182C"/>
    <w:rsid w:val="00FC1BA6"/>
    <w:rsid w:val="00FC400A"/>
    <w:rsid w:val="00FC401E"/>
    <w:rsid w:val="00FC68F9"/>
    <w:rsid w:val="00FD100D"/>
    <w:rsid w:val="00FD1DBE"/>
    <w:rsid w:val="00FE1B39"/>
    <w:rsid w:val="00FE1DB8"/>
    <w:rsid w:val="00FE3134"/>
    <w:rsid w:val="00FE31AE"/>
    <w:rsid w:val="00FE7BE3"/>
    <w:rsid w:val="00FF178A"/>
    <w:rsid w:val="00FF1ABC"/>
    <w:rsid w:val="00FF2A4C"/>
    <w:rsid w:val="00FF3265"/>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32BC"/>
  <w15:docId w15:val="{42DDE094-4376-4326-AA62-203B65A8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51"/>
    <w:pPr>
      <w:spacing w:before="120" w:after="120" w:line="264" w:lineRule="auto"/>
    </w:pPr>
    <w:rPr>
      <w:rFonts w:ascii="Aptos Light" w:hAnsi="Aptos Light"/>
    </w:rPr>
  </w:style>
  <w:style w:type="paragraph" w:styleId="Heading1">
    <w:name w:val="heading 1"/>
    <w:basedOn w:val="Title"/>
    <w:next w:val="Normal"/>
    <w:link w:val="Heading1Char"/>
    <w:uiPriority w:val="1"/>
    <w:qFormat/>
    <w:rsid w:val="00C14966"/>
    <w:pPr>
      <w:tabs>
        <w:tab w:val="clear" w:pos="980"/>
      </w:tabs>
      <w:spacing w:before="0" w:line="192" w:lineRule="auto"/>
      <w:outlineLvl w:val="0"/>
    </w:pPr>
    <w:rPr>
      <w:rFonts w:ascii="Aptos" w:eastAsia="Times New Roman" w:hAnsi="Aptos" w:cs="Times New Roman"/>
      <w:noProof/>
      <w:color w:val="ED6E3B"/>
      <w:sz w:val="44"/>
      <w:lang w:eastAsia="en-US"/>
    </w:rPr>
  </w:style>
  <w:style w:type="paragraph" w:styleId="Heading2">
    <w:name w:val="heading 2"/>
    <w:basedOn w:val="Normal"/>
    <w:next w:val="Normal"/>
    <w:link w:val="Heading2Char"/>
    <w:uiPriority w:val="1"/>
    <w:qFormat/>
    <w:rsid w:val="007C639C"/>
    <w:pPr>
      <w:keepNext/>
      <w:keepLines/>
      <w:pBdr>
        <w:bottom w:val="single" w:sz="6" w:space="4" w:color="auto"/>
      </w:pBdr>
      <w:outlineLvl w:val="1"/>
    </w:pPr>
    <w:rPr>
      <w:rFonts w:ascii="Aptos" w:eastAsiaTheme="majorEastAsia" w:hAnsi="Aptos" w:cstheme="majorBidi"/>
      <w:bCs/>
      <w:color w:val="BD572F"/>
      <w:sz w:val="36"/>
      <w:szCs w:val="32"/>
      <w:lang w:eastAsia="en-US"/>
    </w:rPr>
  </w:style>
  <w:style w:type="paragraph" w:styleId="Heading3">
    <w:name w:val="heading 3"/>
    <w:basedOn w:val="Normal"/>
    <w:next w:val="Normal"/>
    <w:link w:val="Heading3Char"/>
    <w:uiPriority w:val="1"/>
    <w:qFormat/>
    <w:rsid w:val="00951F00"/>
    <w:pPr>
      <w:keepNext/>
      <w:spacing w:line="240" w:lineRule="auto"/>
      <w:outlineLvl w:val="2"/>
    </w:pPr>
    <w:rPr>
      <w:rFonts w:ascii="Consolas" w:eastAsia="Times New Roman" w:hAnsi="Consolas" w:cs="Times New Roman"/>
      <w:b/>
      <w:spacing w:val="10"/>
      <w:sz w:val="26"/>
      <w:szCs w:val="32"/>
      <w:lang w:eastAsia="en-US"/>
    </w:rPr>
  </w:style>
  <w:style w:type="paragraph" w:styleId="Heading4">
    <w:name w:val="heading 4"/>
    <w:basedOn w:val="Normal"/>
    <w:next w:val="Normal"/>
    <w:link w:val="Heading4Char"/>
    <w:uiPriority w:val="1"/>
    <w:qFormat/>
    <w:rsid w:val="00951F00"/>
    <w:pPr>
      <w:keepNext/>
      <w:keepLines/>
      <w:outlineLvl w:val="3"/>
    </w:pPr>
    <w:rPr>
      <w:rFonts w:ascii="Consolas" w:eastAsiaTheme="majorEastAsia" w:hAnsi="Consolas" w:cstheme="majorBidi"/>
      <w:bCs/>
      <w:iCs/>
      <w:color w:val="000000" w:themeColor="text1"/>
      <w:sz w:val="26"/>
      <w:szCs w:val="26"/>
      <w:lang w:eastAsia="en-US"/>
    </w:rPr>
  </w:style>
  <w:style w:type="paragraph" w:styleId="Heading5">
    <w:name w:val="heading 5"/>
    <w:basedOn w:val="Normal"/>
    <w:next w:val="Normal"/>
    <w:link w:val="Heading5Char"/>
    <w:uiPriority w:val="1"/>
    <w:qFormat/>
    <w:rsid w:val="007C639C"/>
    <w:pPr>
      <w:keepNext/>
      <w:keepLines/>
      <w:spacing w:before="200"/>
      <w:outlineLvl w:val="4"/>
    </w:pPr>
    <w:rPr>
      <w:rFonts w:ascii="Aptos" w:eastAsiaTheme="majorEastAsia" w:hAnsi="Aptos" w:cstheme="majorBidi"/>
      <w:color w:val="BD572F"/>
    </w:rPr>
  </w:style>
  <w:style w:type="paragraph" w:styleId="Heading6">
    <w:name w:val="heading 6"/>
    <w:basedOn w:val="Normal"/>
    <w:next w:val="Normal"/>
    <w:link w:val="Heading6Char"/>
    <w:uiPriority w:val="1"/>
    <w:unhideWhenUsed/>
    <w:qFormat/>
    <w:rsid w:val="00951F00"/>
    <w:pPr>
      <w:keepNext/>
      <w:keepLines/>
      <w:outlineLvl w:val="5"/>
    </w:pPr>
    <w:rPr>
      <w:rFonts w:eastAsiaTheme="majorEastAsia" w:cstheme="majorBidi"/>
      <w:i/>
      <w:iCs/>
      <w:color w:val="162819" w:themeColor="accent1" w:themeShade="7F"/>
    </w:rPr>
  </w:style>
  <w:style w:type="paragraph" w:styleId="Heading7">
    <w:name w:val="heading 7"/>
    <w:basedOn w:val="Normal"/>
    <w:next w:val="Normal"/>
    <w:link w:val="Heading7Char"/>
    <w:uiPriority w:val="9"/>
    <w:semiHidden/>
    <w:qFormat/>
    <w:rsid w:val="006839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839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83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94D"/>
    <w:rPr>
      <w:rFonts w:ascii="Tahoma" w:hAnsi="Tahoma" w:cs="Tahoma"/>
      <w:sz w:val="16"/>
      <w:szCs w:val="16"/>
    </w:rPr>
  </w:style>
  <w:style w:type="character" w:customStyle="1" w:styleId="BalloonTextChar">
    <w:name w:val="Balloon Text Char"/>
    <w:basedOn w:val="DefaultParagraphFont"/>
    <w:link w:val="BalloonText"/>
    <w:uiPriority w:val="99"/>
    <w:semiHidden/>
    <w:rsid w:val="0068394D"/>
    <w:rPr>
      <w:rFonts w:ascii="Tahoma" w:hAnsi="Tahoma" w:cs="Tahoma"/>
      <w:sz w:val="16"/>
      <w:szCs w:val="16"/>
    </w:rPr>
  </w:style>
  <w:style w:type="paragraph" w:customStyle="1" w:styleId="Documentsubtitle">
    <w:name w:val="Document subtitle"/>
    <w:basedOn w:val="Normal"/>
    <w:next w:val="Normal"/>
    <w:link w:val="DocumentsubtitleChar"/>
    <w:uiPriority w:val="3"/>
    <w:qFormat/>
    <w:rsid w:val="00194D1B"/>
    <w:pPr>
      <w:spacing w:before="480" w:line="240" w:lineRule="auto"/>
    </w:pPr>
    <w:rPr>
      <w:rFonts w:ascii="Consolas" w:hAnsi="Consolas"/>
      <w:sz w:val="28"/>
    </w:rPr>
  </w:style>
  <w:style w:type="character" w:customStyle="1" w:styleId="DocumentsubtitleChar">
    <w:name w:val="Document subtitle Char"/>
    <w:basedOn w:val="DefaultParagraphFont"/>
    <w:link w:val="Documentsubtitle"/>
    <w:uiPriority w:val="3"/>
    <w:rsid w:val="00194D1B"/>
    <w:rPr>
      <w:rFonts w:ascii="Consolas" w:hAnsi="Consolas"/>
      <w:sz w:val="28"/>
    </w:rPr>
  </w:style>
  <w:style w:type="paragraph" w:styleId="Header">
    <w:name w:val="header"/>
    <w:basedOn w:val="Normal"/>
    <w:link w:val="HeaderChar"/>
    <w:uiPriority w:val="99"/>
    <w:semiHidden/>
    <w:rsid w:val="0068394D"/>
    <w:pPr>
      <w:tabs>
        <w:tab w:val="center" w:pos="4513"/>
        <w:tab w:val="right" w:pos="9026"/>
      </w:tabs>
    </w:pPr>
  </w:style>
  <w:style w:type="character" w:customStyle="1" w:styleId="HeaderChar">
    <w:name w:val="Header Char"/>
    <w:basedOn w:val="DefaultParagraphFont"/>
    <w:link w:val="Header"/>
    <w:uiPriority w:val="99"/>
    <w:semiHidden/>
    <w:rsid w:val="00CD7E6A"/>
    <w:rPr>
      <w:rFonts w:ascii="Arial" w:hAnsi="Arial"/>
      <w:sz w:val="24"/>
    </w:rPr>
  </w:style>
  <w:style w:type="paragraph" w:styleId="Footer">
    <w:name w:val="footer"/>
    <w:basedOn w:val="Normal"/>
    <w:link w:val="FooterChar"/>
    <w:uiPriority w:val="99"/>
    <w:semiHidden/>
    <w:rsid w:val="0068394D"/>
    <w:pPr>
      <w:tabs>
        <w:tab w:val="center" w:pos="4513"/>
        <w:tab w:val="right" w:pos="9026"/>
      </w:tabs>
    </w:pPr>
  </w:style>
  <w:style w:type="character" w:customStyle="1" w:styleId="FooterChar">
    <w:name w:val="Footer Char"/>
    <w:basedOn w:val="DefaultParagraphFont"/>
    <w:link w:val="Footer"/>
    <w:uiPriority w:val="99"/>
    <w:semiHidden/>
    <w:rsid w:val="00CD7E6A"/>
    <w:rPr>
      <w:rFonts w:ascii="Arial" w:hAnsi="Arial"/>
      <w:sz w:val="24"/>
    </w:rPr>
  </w:style>
  <w:style w:type="character" w:customStyle="1" w:styleId="Heading1Char">
    <w:name w:val="Heading 1 Char"/>
    <w:basedOn w:val="DefaultParagraphFont"/>
    <w:link w:val="Heading1"/>
    <w:uiPriority w:val="1"/>
    <w:rsid w:val="00C14966"/>
    <w:rPr>
      <w:rFonts w:ascii="Aptos" w:eastAsia="Times New Roman" w:hAnsi="Aptos" w:cs="Times New Roman"/>
      <w:noProof/>
      <w:color w:val="ED6E3B"/>
      <w:sz w:val="44"/>
      <w:szCs w:val="56"/>
      <w:lang w:eastAsia="en-US"/>
    </w:rPr>
  </w:style>
  <w:style w:type="character" w:customStyle="1" w:styleId="Heading2Char">
    <w:name w:val="Heading 2 Char"/>
    <w:basedOn w:val="DefaultParagraphFont"/>
    <w:link w:val="Heading2"/>
    <w:uiPriority w:val="1"/>
    <w:rsid w:val="007C639C"/>
    <w:rPr>
      <w:rFonts w:ascii="Aptos" w:eastAsiaTheme="majorEastAsia" w:hAnsi="Aptos" w:cstheme="majorBidi"/>
      <w:bCs/>
      <w:color w:val="BD572F"/>
      <w:sz w:val="36"/>
      <w:szCs w:val="32"/>
      <w:lang w:eastAsia="en-US"/>
    </w:rPr>
  </w:style>
  <w:style w:type="character" w:customStyle="1" w:styleId="Heading3Char">
    <w:name w:val="Heading 3 Char"/>
    <w:basedOn w:val="DefaultParagraphFont"/>
    <w:link w:val="Heading3"/>
    <w:uiPriority w:val="1"/>
    <w:rsid w:val="00951F00"/>
    <w:rPr>
      <w:rFonts w:ascii="Consolas" w:eastAsia="Times New Roman" w:hAnsi="Consolas" w:cs="Times New Roman"/>
      <w:b/>
      <w:spacing w:val="10"/>
      <w:sz w:val="26"/>
      <w:szCs w:val="32"/>
      <w:lang w:eastAsia="en-US"/>
    </w:rPr>
  </w:style>
  <w:style w:type="character" w:customStyle="1" w:styleId="Heading4Char">
    <w:name w:val="Heading 4 Char"/>
    <w:basedOn w:val="DefaultParagraphFont"/>
    <w:link w:val="Heading4"/>
    <w:uiPriority w:val="1"/>
    <w:rsid w:val="00951F00"/>
    <w:rPr>
      <w:rFonts w:ascii="Consolas" w:eastAsiaTheme="majorEastAsia" w:hAnsi="Consolas" w:cstheme="majorBidi"/>
      <w:bCs/>
      <w:iCs/>
      <w:color w:val="000000" w:themeColor="text1"/>
      <w:sz w:val="26"/>
      <w:szCs w:val="26"/>
      <w:lang w:eastAsia="en-US"/>
    </w:rPr>
  </w:style>
  <w:style w:type="character" w:customStyle="1" w:styleId="Heading5Char">
    <w:name w:val="Heading 5 Char"/>
    <w:basedOn w:val="DefaultParagraphFont"/>
    <w:link w:val="Heading5"/>
    <w:uiPriority w:val="1"/>
    <w:rsid w:val="007C639C"/>
    <w:rPr>
      <w:rFonts w:ascii="Aptos" w:eastAsiaTheme="majorEastAsia" w:hAnsi="Aptos" w:cstheme="majorBidi"/>
      <w:color w:val="BD572F"/>
      <w:sz w:val="24"/>
    </w:rPr>
  </w:style>
  <w:style w:type="character" w:customStyle="1" w:styleId="Heading6Char">
    <w:name w:val="Heading 6 Char"/>
    <w:basedOn w:val="DefaultParagraphFont"/>
    <w:link w:val="Heading6"/>
    <w:uiPriority w:val="1"/>
    <w:rsid w:val="00951F00"/>
    <w:rPr>
      <w:rFonts w:ascii="Aptos Light" w:eastAsiaTheme="majorEastAsia" w:hAnsi="Aptos Light" w:cstheme="majorBidi"/>
      <w:i/>
      <w:iCs/>
      <w:color w:val="162819" w:themeColor="accent1" w:themeShade="7F"/>
      <w:sz w:val="24"/>
    </w:rPr>
  </w:style>
  <w:style w:type="character" w:customStyle="1" w:styleId="Heading7Char">
    <w:name w:val="Heading 7 Char"/>
    <w:basedOn w:val="DefaultParagraphFont"/>
    <w:link w:val="Heading7"/>
    <w:uiPriority w:val="9"/>
    <w:semiHidden/>
    <w:rsid w:val="006C65D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C65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5D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04D2A"/>
    <w:pPr>
      <w:numPr>
        <w:numId w:val="8"/>
      </w:numPr>
      <w:ind w:left="426" w:hanging="426"/>
      <w:contextualSpacing/>
    </w:pPr>
  </w:style>
  <w:style w:type="paragraph" w:styleId="TOC1">
    <w:name w:val="toc 1"/>
    <w:basedOn w:val="Normal"/>
    <w:next w:val="Normal"/>
    <w:autoRedefine/>
    <w:uiPriority w:val="39"/>
    <w:rsid w:val="008205B3"/>
    <w:pPr>
      <w:tabs>
        <w:tab w:val="left" w:pos="440"/>
        <w:tab w:val="right" w:leader="dot" w:pos="9016"/>
      </w:tabs>
      <w:spacing w:after="100"/>
    </w:pPr>
  </w:style>
  <w:style w:type="paragraph" w:styleId="TOC2">
    <w:name w:val="toc 2"/>
    <w:basedOn w:val="Normal"/>
    <w:next w:val="Normal"/>
    <w:autoRedefine/>
    <w:uiPriority w:val="39"/>
    <w:rsid w:val="006E0339"/>
    <w:pPr>
      <w:tabs>
        <w:tab w:val="left" w:pos="993"/>
        <w:tab w:val="right" w:leader="dot" w:pos="9016"/>
      </w:tabs>
      <w:spacing w:after="100"/>
      <w:ind w:left="442"/>
    </w:pPr>
  </w:style>
  <w:style w:type="character" w:styleId="Hyperlink">
    <w:name w:val="Hyperlink"/>
    <w:basedOn w:val="DefaultParagraphFont"/>
    <w:uiPriority w:val="99"/>
    <w:unhideWhenUsed/>
    <w:rsid w:val="00DB7D37"/>
    <w:rPr>
      <w:color w:val="BD572F"/>
      <w:u w:val="single"/>
    </w:rPr>
  </w:style>
  <w:style w:type="paragraph" w:styleId="NoSpacing">
    <w:name w:val="No Spacing"/>
    <w:uiPriority w:val="1"/>
    <w:semiHidden/>
    <w:rsid w:val="00CB2C6B"/>
    <w:pPr>
      <w:spacing w:after="0" w:line="240" w:lineRule="auto"/>
    </w:pPr>
    <w:rPr>
      <w:rFonts w:ascii="Arial" w:hAnsi="Arial"/>
      <w:sz w:val="24"/>
    </w:rPr>
  </w:style>
  <w:style w:type="paragraph" w:customStyle="1" w:styleId="PageHeadingContents">
    <w:name w:val="Page Heading Contents"/>
    <w:basedOn w:val="Normal"/>
    <w:semiHidden/>
    <w:rsid w:val="001F0C09"/>
    <w:pPr>
      <w:spacing w:after="960"/>
    </w:pPr>
    <w:rPr>
      <w:rFonts w:eastAsia="Times New Roman" w:cs="Times New Roman"/>
      <w:color w:val="145D52"/>
      <w:sz w:val="48"/>
      <w:szCs w:val="24"/>
      <w:lang w:val="en-US" w:eastAsia="en-US"/>
    </w:rPr>
  </w:style>
  <w:style w:type="paragraph" w:styleId="BodyText">
    <w:name w:val="Body Text"/>
    <w:aliases w:val="Title Footer"/>
    <w:link w:val="BodyTextChar"/>
    <w:semiHidden/>
    <w:rsid w:val="007C7942"/>
    <w:pPr>
      <w:spacing w:after="120" w:line="264" w:lineRule="auto"/>
    </w:pPr>
    <w:rPr>
      <w:rFonts w:ascii="Arial" w:eastAsia="Times New Roman" w:hAnsi="Arial" w:cs="Times New Roman"/>
      <w:sz w:val="24"/>
      <w:szCs w:val="24"/>
      <w:lang w:val="en-US" w:eastAsia="en-US"/>
    </w:rPr>
  </w:style>
  <w:style w:type="character" w:customStyle="1" w:styleId="BodyTextChar">
    <w:name w:val="Body Text Char"/>
    <w:aliases w:val="Title Footer Char"/>
    <w:basedOn w:val="DefaultParagraphFont"/>
    <w:link w:val="BodyText"/>
    <w:semiHidden/>
    <w:rsid w:val="00A72B45"/>
    <w:rPr>
      <w:rFonts w:ascii="Arial" w:eastAsia="Times New Roman" w:hAnsi="Arial" w:cs="Times New Roman"/>
      <w:sz w:val="24"/>
      <w:szCs w:val="24"/>
      <w:lang w:val="en-US" w:eastAsia="en-US"/>
    </w:rPr>
  </w:style>
  <w:style w:type="paragraph" w:customStyle="1" w:styleId="Bullet1">
    <w:name w:val="Bullet 1"/>
    <w:basedOn w:val="ListParagraph"/>
    <w:uiPriority w:val="2"/>
    <w:qFormat/>
    <w:rsid w:val="009A4D2F"/>
    <w:pPr>
      <w:spacing w:before="100" w:after="100"/>
      <w:ind w:left="425" w:hanging="425"/>
      <w:contextualSpacing w:val="0"/>
    </w:pPr>
  </w:style>
  <w:style w:type="paragraph" w:styleId="Title">
    <w:name w:val="Title"/>
    <w:basedOn w:val="Normal"/>
    <w:next w:val="Normal"/>
    <w:link w:val="TitleChar"/>
    <w:uiPriority w:val="10"/>
    <w:semiHidden/>
    <w:rsid w:val="00A22C25"/>
    <w:pPr>
      <w:tabs>
        <w:tab w:val="left" w:pos="980"/>
      </w:tabs>
      <w:spacing w:before="2400"/>
    </w:pPr>
    <w:rPr>
      <w:color w:val="FFFFFF" w:themeColor="background1"/>
      <w:sz w:val="80"/>
      <w:szCs w:val="56"/>
    </w:rPr>
  </w:style>
  <w:style w:type="character" w:customStyle="1" w:styleId="TitleChar">
    <w:name w:val="Title Char"/>
    <w:basedOn w:val="DefaultParagraphFont"/>
    <w:link w:val="Title"/>
    <w:uiPriority w:val="10"/>
    <w:semiHidden/>
    <w:rsid w:val="00CD7E6A"/>
    <w:rPr>
      <w:rFonts w:ascii="Arial" w:hAnsi="Arial"/>
      <w:color w:val="FFFFFF" w:themeColor="background1"/>
      <w:sz w:val="80"/>
      <w:szCs w:val="56"/>
    </w:rPr>
  </w:style>
  <w:style w:type="table" w:styleId="TableGrid">
    <w:name w:val="Table Grid"/>
    <w:basedOn w:val="TableNormal"/>
    <w:uiPriority w:val="59"/>
    <w:rsid w:val="0033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ullet1"/>
    <w:uiPriority w:val="2"/>
    <w:qFormat/>
    <w:rsid w:val="00E04D2A"/>
    <w:pPr>
      <w:numPr>
        <w:numId w:val="19"/>
      </w:numPr>
    </w:pPr>
  </w:style>
  <w:style w:type="character" w:customStyle="1" w:styleId="apple-converted-space">
    <w:name w:val="apple-converted-space"/>
    <w:basedOn w:val="DefaultParagraphFont"/>
    <w:rsid w:val="009C43C2"/>
  </w:style>
  <w:style w:type="numbering" w:customStyle="1" w:styleId="CurrentList1">
    <w:name w:val="Current List1"/>
    <w:uiPriority w:val="99"/>
    <w:rsid w:val="00B96157"/>
    <w:pPr>
      <w:numPr>
        <w:numId w:val="20"/>
      </w:numPr>
    </w:pPr>
  </w:style>
  <w:style w:type="numbering" w:customStyle="1" w:styleId="CurrentList2">
    <w:name w:val="Current List2"/>
    <w:uiPriority w:val="99"/>
    <w:rsid w:val="00B96157"/>
    <w:pPr>
      <w:numPr>
        <w:numId w:val="21"/>
      </w:numPr>
    </w:pPr>
  </w:style>
  <w:style w:type="numbering" w:customStyle="1" w:styleId="CurrentList3">
    <w:name w:val="Current List3"/>
    <w:uiPriority w:val="99"/>
    <w:rsid w:val="00460FCE"/>
    <w:pPr>
      <w:numPr>
        <w:numId w:val="22"/>
      </w:numPr>
    </w:pPr>
  </w:style>
  <w:style w:type="numbering" w:customStyle="1" w:styleId="CurrentList4">
    <w:name w:val="Current List4"/>
    <w:uiPriority w:val="99"/>
    <w:rsid w:val="00460FCE"/>
    <w:pPr>
      <w:numPr>
        <w:numId w:val="23"/>
      </w:numPr>
    </w:pPr>
  </w:style>
  <w:style w:type="numbering" w:customStyle="1" w:styleId="CurrentList5">
    <w:name w:val="Current List5"/>
    <w:uiPriority w:val="99"/>
    <w:rsid w:val="00460FCE"/>
    <w:pPr>
      <w:numPr>
        <w:numId w:val="24"/>
      </w:numPr>
    </w:pPr>
  </w:style>
  <w:style w:type="paragraph" w:customStyle="1" w:styleId="Backcovertext">
    <w:name w:val="Back cover text"/>
    <w:basedOn w:val="Normal"/>
    <w:qFormat/>
    <w:rsid w:val="006A0FE2"/>
    <w:pPr>
      <w:spacing w:before="0"/>
    </w:pPr>
    <w:rPr>
      <w:color w:val="FFFFFF" w:themeColor="background1"/>
    </w:rPr>
  </w:style>
  <w:style w:type="paragraph" w:customStyle="1" w:styleId="Bullet3">
    <w:name w:val="Bullet 3"/>
    <w:basedOn w:val="Bullet2"/>
    <w:uiPriority w:val="2"/>
    <w:qFormat/>
    <w:rsid w:val="00194F87"/>
    <w:pPr>
      <w:numPr>
        <w:numId w:val="0"/>
      </w:numPr>
      <w:ind w:left="1276" w:hanging="360"/>
    </w:pPr>
  </w:style>
  <w:style w:type="character" w:styleId="CommentReference">
    <w:name w:val="annotation reference"/>
    <w:basedOn w:val="DefaultParagraphFont"/>
    <w:uiPriority w:val="99"/>
    <w:semiHidden/>
    <w:unhideWhenUsed/>
    <w:rsid w:val="00DE6213"/>
    <w:rPr>
      <w:sz w:val="16"/>
      <w:szCs w:val="16"/>
    </w:rPr>
  </w:style>
  <w:style w:type="paragraph" w:styleId="CommentText">
    <w:name w:val="annotation text"/>
    <w:basedOn w:val="Normal"/>
    <w:link w:val="CommentTextChar"/>
    <w:uiPriority w:val="99"/>
    <w:unhideWhenUsed/>
    <w:rsid w:val="00DE6213"/>
    <w:pPr>
      <w:spacing w:before="0" w:after="160" w:line="240" w:lineRule="auto"/>
    </w:pPr>
    <w:rPr>
      <w:rFonts w:asciiTheme="minorHAnsi" w:eastAsiaTheme="minorHAnsi" w:hAnsi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DE6213"/>
    <w:rPr>
      <w:rFonts w:eastAsiaTheme="minorHAnsi"/>
      <w:kern w:val="2"/>
      <w:sz w:val="20"/>
      <w:szCs w:val="20"/>
      <w:lang w:eastAsia="en-US"/>
      <w14:ligatures w14:val="standardContextual"/>
    </w:rPr>
  </w:style>
  <w:style w:type="paragraph" w:styleId="NormalWeb">
    <w:name w:val="Normal (Web)"/>
    <w:basedOn w:val="Normal"/>
    <w:uiPriority w:val="99"/>
    <w:semiHidden/>
    <w:unhideWhenUsed/>
    <w:rsid w:val="00870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AA07A2"/>
    <w:pPr>
      <w:spacing w:after="0"/>
      <w:jc w:val="center"/>
    </w:pPr>
    <w:rPr>
      <w:noProof/>
    </w:rPr>
  </w:style>
  <w:style w:type="character" w:customStyle="1" w:styleId="EndNoteBibliographyTitleChar">
    <w:name w:val="EndNote Bibliography Title Char"/>
    <w:basedOn w:val="DefaultParagraphFont"/>
    <w:link w:val="EndNoteBibliographyTitle"/>
    <w:rsid w:val="00AA07A2"/>
    <w:rPr>
      <w:rFonts w:ascii="Aptos Light" w:hAnsi="Aptos Light"/>
      <w:noProof/>
    </w:rPr>
  </w:style>
  <w:style w:type="paragraph" w:customStyle="1" w:styleId="EndNoteBibliography">
    <w:name w:val="EndNote Bibliography"/>
    <w:basedOn w:val="Normal"/>
    <w:link w:val="EndNoteBibliographyChar"/>
    <w:rsid w:val="00AA07A2"/>
    <w:pPr>
      <w:spacing w:line="240" w:lineRule="auto"/>
    </w:pPr>
    <w:rPr>
      <w:noProof/>
    </w:rPr>
  </w:style>
  <w:style w:type="character" w:customStyle="1" w:styleId="EndNoteBibliographyChar">
    <w:name w:val="EndNote Bibliography Char"/>
    <w:basedOn w:val="DefaultParagraphFont"/>
    <w:link w:val="EndNoteBibliography"/>
    <w:rsid w:val="00AA07A2"/>
    <w:rPr>
      <w:rFonts w:ascii="Aptos Light" w:hAnsi="Aptos Light"/>
      <w:noProof/>
    </w:rPr>
  </w:style>
  <w:style w:type="character" w:styleId="UnresolvedMention">
    <w:name w:val="Unresolved Mention"/>
    <w:basedOn w:val="DefaultParagraphFont"/>
    <w:uiPriority w:val="99"/>
    <w:semiHidden/>
    <w:unhideWhenUsed/>
    <w:rsid w:val="00AE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bsonline.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cessprojec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zuk\Downloads\burnet-report-template-no-cover-a4.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F504D"/>
      </a:dk2>
      <a:lt2>
        <a:srgbClr val="A8AD00"/>
      </a:lt2>
      <a:accent1>
        <a:srgbClr val="2C5234"/>
      </a:accent1>
      <a:accent2>
        <a:srgbClr val="E57200"/>
      </a:accent2>
      <a:accent3>
        <a:srgbClr val="BC3B4A"/>
      </a:accent3>
      <a:accent4>
        <a:srgbClr val="006E63"/>
      </a:accent4>
      <a:accent5>
        <a:srgbClr val="A1A468"/>
      </a:accent5>
      <a:accent6>
        <a:srgbClr val="863399"/>
      </a:accent6>
      <a:hlink>
        <a:srgbClr val="0000FF"/>
      </a:hlink>
      <a:folHlink>
        <a:srgbClr val="800080"/>
      </a:folHlink>
    </a:clrScheme>
    <a:fontScheme name="Boroondara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52FF61D088BE4A66BFE4693AE17145B7" version="1.0.0">
  <systemFields>
    <field name="Objective-Id">
      <value order="0">A7503566</value>
    </field>
    <field name="Objective-Title">
      <value order="0">Template - Policy document - 200121</value>
    </field>
    <field name="Objective-Description">
      <value order="0"/>
    </field>
    <field name="Objective-CreationStamp">
      <value order="0">2020-01-21T04:45:05Z</value>
    </field>
    <field name="Objective-IsApproved">
      <value order="0">false</value>
    </field>
    <field name="Objective-IsPublished">
      <value order="0">true</value>
    </field>
    <field name="Objective-DatePublished">
      <value order="0">2022-06-21T11:45:22Z</value>
    </field>
    <field name="Objective-ModificationStamp">
      <value order="0">2022-06-21T11:45:22Z</value>
    </field>
    <field name="Objective-Owner">
      <value order="0">Leanne Brain</value>
    </field>
    <field name="Objective-Path">
      <value order="0">Objective Global Folder:Corporate Management:Administration - Corporate Planning:Forms and Templates</value>
    </field>
    <field name="Objective-Parent">
      <value order="0">Forms and Templates</value>
    </field>
    <field name="Objective-State">
      <value order="0">Published</value>
    </field>
    <field name="Objective-VersionId">
      <value order="0">vA10415270</value>
    </field>
    <field name="Objective-Version">
      <value order="0">4.0</value>
    </field>
    <field name="Objective-VersionNumber">
      <value order="0">4</value>
    </field>
    <field name="Objective-VersionComment">
      <value order="0"/>
    </field>
    <field name="Objective-FileNumber">
      <value order="0">qA579797</value>
    </field>
    <field name="Objective-Classification">
      <value order="0">Unclassified</value>
    </field>
    <field name="Objective-Caveats">
      <value order="0"/>
    </field>
  </systemFields>
  <catalogues>
    <catalogue name="Boroondara Document Type Catalogue" type="type" ori="id:cA2">
      <field name="Objective-Document Type">
        <value order="0">Internal</value>
      </field>
      <field name="Objective-Reference">
        <value order="0"/>
      </field>
      <field name="Objective-Document Date">
        <value order="0"/>
      </field>
      <field name="Objective-Date Received">
        <value order="0"/>
      </field>
      <field name="Objective-PR Property Address">
        <value order="0"/>
      </field>
      <field name="Objective-PR Application ID">
        <value order="0"/>
      </field>
      <field name="Objective-PR Application Description">
        <value order="0"/>
      </field>
      <field name="Objective-PR Author">
        <value order="0"/>
      </field>
      <field name="Objective-PR Addressee">
        <value order="0"/>
      </field>
      <field name="Objective-CRM Case Number">
        <value order="0"/>
      </field>
      <field name="Objective-End-to-End Response">
        <value order="0"/>
      </field>
      <field name="Objective-Public Document">
        <value order="0">No</value>
      </field>
      <field name="Objective-Physical Location/Box">
        <value order="0"/>
      </field>
      <field name="Objective-PR Property ID">
        <value order="0"/>
      </field>
      <field name="Objective-PR Author Key">
        <value order="0"/>
      </field>
      <field name="Objective-PR Addressee Key">
        <value order="0"/>
      </field>
      <field name="Objective-M13 Agent Type">
        <value order="0">Registrar</value>
      </field>
      <field name="Objective-M16 Corporate Name">
        <value order="0">City of Boroondara</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0f749f-c663-4145-9164-aa140ba58102">
      <Terms xmlns="http://schemas.microsoft.com/office/infopath/2007/PartnerControls"/>
    </lcf76f155ced4ddcb4097134ff3c332f>
    <TaxCatchAll xmlns="ce92fcbc-3752-4d72-9491-d46a998f0cf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B641C7630DFF4CA98B1F35682F0310" ma:contentTypeVersion="15" ma:contentTypeDescription="Create a new document." ma:contentTypeScope="" ma:versionID="06bba285f4af47ef99357e0eb7982603">
  <xsd:schema xmlns:xsd="http://www.w3.org/2001/XMLSchema" xmlns:xs="http://www.w3.org/2001/XMLSchema" xmlns:p="http://schemas.microsoft.com/office/2006/metadata/properties" xmlns:ns2="ce92fcbc-3752-4d72-9491-d46a998f0cf9" xmlns:ns3="a10f749f-c663-4145-9164-aa140ba58102" targetNamespace="http://schemas.microsoft.com/office/2006/metadata/properties" ma:root="true" ma:fieldsID="5054286b2bfa935843604c01b5bd47d8" ns2:_="" ns3:_="">
    <xsd:import namespace="ce92fcbc-3752-4d72-9491-d46a998f0cf9"/>
    <xsd:import namespace="a10f749f-c663-4145-9164-aa140ba581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2fcbc-3752-4d72-9491-d46a998f0c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41c9172-c6d6-4c0d-8088-6f6d6ec62955}" ma:internalName="TaxCatchAll" ma:showField="CatchAllData" ma:web="ce92fcbc-3752-4d72-9491-d46a998f0c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0f749f-c663-4145-9164-aa140ba581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77E3-6E27-4B5A-8143-A245BC95D2E4}">
  <ds:schemaRefs>
    <ds:schemaRef ds:uri="http://schemas.microsoft.com/sharepoint/v3/contenttype/forms"/>
  </ds:schemaRefs>
</ds:datastoreItem>
</file>

<file path=customXml/itemProps2.xml><?xml version="1.0" encoding="utf-8"?>
<ds:datastoreItem xmlns:ds="http://schemas.openxmlformats.org/officeDocument/2006/customXml" ds:itemID="{3CA131D1-2B5C-4F64-95D6-8C296705B2E8}">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2FF61D088BE4A66BFE4693AE17145B7"/>
  </ds:schemaRefs>
</ds:datastoreItem>
</file>

<file path=customXml/itemProps4.xml><?xml version="1.0" encoding="utf-8"?>
<ds:datastoreItem xmlns:ds="http://schemas.openxmlformats.org/officeDocument/2006/customXml" ds:itemID="{458CD530-1C50-443E-B922-BEB0A38E30F0}">
  <ds:schemaRefs>
    <ds:schemaRef ds:uri="http://schemas.microsoft.com/office/2006/metadata/properties"/>
    <ds:schemaRef ds:uri="http://schemas.microsoft.com/office/infopath/2007/PartnerControls"/>
    <ds:schemaRef ds:uri="a10f749f-c663-4145-9164-aa140ba58102"/>
    <ds:schemaRef ds:uri="ce92fcbc-3752-4d72-9491-d46a998f0cf9"/>
  </ds:schemaRefs>
</ds:datastoreItem>
</file>

<file path=customXml/itemProps5.xml><?xml version="1.0" encoding="utf-8"?>
<ds:datastoreItem xmlns:ds="http://schemas.openxmlformats.org/officeDocument/2006/customXml" ds:itemID="{CE8B3FF4-5B78-447D-BA79-E5378E4A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2fcbc-3752-4d72-9491-d46a998f0cf9"/>
    <ds:schemaRef ds:uri="a10f749f-c663-4145-9164-aa140ba58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burnet-report-template-no-cover-a4</Template>
  <TotalTime>1563</TotalTime>
  <Pages>8</Pages>
  <Words>6123</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Burnet Institute</Company>
  <LinksUpToDate>false</LinksUpToDate>
  <CharactersWithSpaces>40949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Zuk</dc:creator>
  <cp:keywords/>
  <dc:description/>
  <cp:lastModifiedBy>Jessica Zuk</cp:lastModifiedBy>
  <cp:revision>423</cp:revision>
  <cp:lastPrinted>2019-03-26T22:08:00Z</cp:lastPrinted>
  <dcterms:created xsi:type="dcterms:W3CDTF">2025-08-12T19:39:00Z</dcterms:created>
  <dcterms:modified xsi:type="dcterms:W3CDTF">2025-08-26T04:12:00Z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0x0101004CB641C7630DFF4CA98B1F35682F0310</vt:lpwstr>
  </property>
  <property fmtid="{D5CDD505-2E9C-101B-9397-08002B2CF9AE}" pid="3" name="MediaServiceImageTags">
    <vt:lpwstr/>
  </property>
</Properties>
</file>